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164"/>
        <w:gridCol w:w="244"/>
        <w:gridCol w:w="211"/>
        <w:gridCol w:w="3805"/>
        <w:gridCol w:w="3918"/>
        <w:gridCol w:w="658"/>
      </w:tblGrid>
      <w:tr w:rsidR="006615E5" w:rsidRPr="006615E5" w:rsidTr="006615E5">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а</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w:t>
            </w:r>
          </w:p>
        </w:tc>
        <w:tc>
          <w:tcPr>
            <w:tcW w:w="0" w:type="auto"/>
            <w:vMerge w:val="restart"/>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FF0000"/>
                <w:sz w:val="12"/>
                <w:szCs w:val="12"/>
                <w:lang w:eastAsia="ru-RU"/>
              </w:rPr>
              <w:t>ежегодно, до 1 марта</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11а) о ценах (тарифах) на товары (работы, услуги) субъектов естественных монополий, в отношении которых применяется государственное регулирование (далее - регулируемые товары (работы, услуги)), включая информацию о тарифах на услуги по передаче электрической энергии и размерах платы за технологическое присоединение к электрическим сетям на текущий период регулирования, с указанием источника официального опубликования решения регулирующего органа об установлении тарифов;</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hyperlink r:id="rId4" w:history="1">
              <w:r w:rsidRPr="006615E5">
                <w:rPr>
                  <w:rFonts w:ascii="Arial" w:eastAsia="Times New Roman" w:hAnsi="Arial" w:cs="Arial"/>
                  <w:color w:val="2883D4"/>
                  <w:sz w:val="12"/>
                  <w:szCs w:val="12"/>
                  <w:u w:val="single"/>
                  <w:lang w:eastAsia="ru-RU"/>
                </w:rPr>
                <w:t>ссылка</w:t>
              </w:r>
            </w:hyperlink>
          </w:p>
        </w:tc>
      </w:tr>
      <w:tr w:rsidR="006615E5" w:rsidRPr="006615E5" w:rsidTr="006615E5">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б</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w:t>
            </w: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11б.1) об основных потребительских характеристиках регулируемых товаров (работ, услуг) субъектов естественных монополий и их соответствии государственным и иным утвержденным стандартам качества, включая информацию:</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hyperlink r:id="rId5" w:history="1">
              <w:r w:rsidRPr="006615E5">
                <w:rPr>
                  <w:rFonts w:ascii="Arial" w:eastAsia="Times New Roman" w:hAnsi="Arial" w:cs="Arial"/>
                  <w:color w:val="2883D4"/>
                  <w:sz w:val="12"/>
                  <w:szCs w:val="12"/>
                  <w:u w:val="single"/>
                  <w:lang w:eastAsia="ru-RU"/>
                </w:rPr>
                <w:t>ссылка</w:t>
              </w:r>
            </w:hyperlink>
          </w:p>
        </w:tc>
      </w:tr>
      <w:tr w:rsidR="006615E5" w:rsidRPr="006615E5" w:rsidTr="006615E5">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б</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2</w:t>
            </w: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11б.2) о балансе электрической энергии и мощности;</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hyperlink r:id="rId6" w:history="1">
              <w:r w:rsidRPr="006615E5">
                <w:rPr>
                  <w:rFonts w:ascii="Arial" w:eastAsia="Times New Roman" w:hAnsi="Arial" w:cs="Arial"/>
                  <w:color w:val="2883D4"/>
                  <w:sz w:val="12"/>
                  <w:szCs w:val="12"/>
                  <w:u w:val="single"/>
                  <w:lang w:eastAsia="ru-RU"/>
                </w:rPr>
                <w:t>ссылка</w:t>
              </w:r>
            </w:hyperlink>
          </w:p>
        </w:tc>
      </w:tr>
      <w:tr w:rsidR="006615E5" w:rsidRPr="006615E5" w:rsidTr="006615E5">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б</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3</w:t>
            </w: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11б.3) об отпуске электроэнергии в сеть и отпуске электроэнергии из сети сетевой компании по уровням напряжений, используемых для ценообразования, потребителям электрической энергии и территориальным сетевым организациям, присоединенным к сетям сетевой организации;</w:t>
            </w:r>
          </w:p>
        </w:tc>
        <w:tc>
          <w:tcPr>
            <w:tcW w:w="0" w:type="auto"/>
            <w:vMerge w:val="restart"/>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hyperlink r:id="rId7" w:history="1">
              <w:r w:rsidRPr="006615E5">
                <w:rPr>
                  <w:rFonts w:ascii="Arial" w:eastAsia="Times New Roman" w:hAnsi="Arial" w:cs="Arial"/>
                  <w:color w:val="2883D4"/>
                  <w:sz w:val="12"/>
                  <w:szCs w:val="12"/>
                  <w:u w:val="single"/>
                  <w:lang w:eastAsia="ru-RU"/>
                </w:rPr>
                <w:t>ссылка</w:t>
              </w:r>
            </w:hyperlink>
          </w:p>
        </w:tc>
      </w:tr>
      <w:tr w:rsidR="006615E5" w:rsidRPr="006615E5" w:rsidTr="006615E5">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б</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4</w:t>
            </w: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11б.4) об объеме переданной электроэнергии по договорам об оказании услуг по передаче электроэнергии потребителям сетевой организации в разрезе уровней напряжений, используемых для ценообразования;</w:t>
            </w: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r>
      <w:tr w:rsidR="006615E5" w:rsidRPr="006615E5" w:rsidTr="006615E5">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б</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5</w:t>
            </w: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11б.5) о потерях электроэнергии в сетях сетевой организации в абсолютном и относительном выражении по уровням напряжения, используемым для целей ценообразования;</w:t>
            </w: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r>
      <w:tr w:rsidR="006615E5" w:rsidRPr="006615E5" w:rsidTr="006615E5">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б</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6</w:t>
            </w: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11б.6) о затратах на оплату потерь, в том числе:</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w:t>
            </w:r>
          </w:p>
        </w:tc>
      </w:tr>
      <w:tr w:rsidR="006615E5" w:rsidRPr="006615E5" w:rsidTr="006615E5">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б</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7</w:t>
            </w: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11б.7) о затратах сетевой организации на покупку потерь в собственных сетях;</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hyperlink r:id="rId8" w:history="1">
              <w:r w:rsidRPr="006615E5">
                <w:rPr>
                  <w:rFonts w:ascii="Arial" w:eastAsia="Times New Roman" w:hAnsi="Arial" w:cs="Arial"/>
                  <w:color w:val="2883D4"/>
                  <w:sz w:val="12"/>
                  <w:szCs w:val="12"/>
                  <w:u w:val="single"/>
                  <w:lang w:eastAsia="ru-RU"/>
                </w:rPr>
                <w:t>ссылка</w:t>
              </w:r>
            </w:hyperlink>
          </w:p>
        </w:tc>
      </w:tr>
      <w:tr w:rsidR="006615E5" w:rsidRPr="006615E5" w:rsidTr="006615E5">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б</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8</w:t>
            </w: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11б.</w:t>
            </w:r>
            <w:proofErr w:type="gramStart"/>
            <w:r w:rsidRPr="006615E5">
              <w:rPr>
                <w:rFonts w:ascii="Arial" w:eastAsia="Times New Roman" w:hAnsi="Arial" w:cs="Arial"/>
                <w:color w:val="222222"/>
                <w:sz w:val="12"/>
                <w:szCs w:val="12"/>
                <w:lang w:eastAsia="ru-RU"/>
              </w:rPr>
              <w:t>8)об</w:t>
            </w:r>
            <w:proofErr w:type="gramEnd"/>
            <w:r w:rsidRPr="006615E5">
              <w:rPr>
                <w:rFonts w:ascii="Arial" w:eastAsia="Times New Roman" w:hAnsi="Arial" w:cs="Arial"/>
                <w:color w:val="222222"/>
                <w:sz w:val="12"/>
                <w:szCs w:val="12"/>
                <w:lang w:eastAsia="ru-RU"/>
              </w:rPr>
              <w:t xml:space="preserve"> уровне нормативных потерь электроэнергии на текущий период с указанием источника опубликования решения об установлении уровня нормативных потерь;</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hyperlink r:id="rId9" w:history="1">
              <w:proofErr w:type="spellStart"/>
              <w:r w:rsidRPr="006615E5">
                <w:rPr>
                  <w:rFonts w:ascii="Arial" w:eastAsia="Times New Roman" w:hAnsi="Arial" w:cs="Arial"/>
                  <w:color w:val="2883D4"/>
                  <w:sz w:val="12"/>
                  <w:szCs w:val="12"/>
                  <w:u w:val="single"/>
                  <w:lang w:eastAsia="ru-RU"/>
                </w:rPr>
                <w:t>cсылка</w:t>
              </w:r>
              <w:proofErr w:type="spellEnd"/>
            </w:hyperlink>
          </w:p>
        </w:tc>
      </w:tr>
      <w:tr w:rsidR="006615E5" w:rsidRPr="006615E5" w:rsidTr="006615E5">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б</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9</w:t>
            </w: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11б.</w:t>
            </w:r>
            <w:proofErr w:type="gramStart"/>
            <w:r w:rsidRPr="006615E5">
              <w:rPr>
                <w:rFonts w:ascii="Arial" w:eastAsia="Times New Roman" w:hAnsi="Arial" w:cs="Arial"/>
                <w:color w:val="222222"/>
                <w:sz w:val="12"/>
                <w:szCs w:val="12"/>
                <w:lang w:eastAsia="ru-RU"/>
              </w:rPr>
              <w:t>9)о</w:t>
            </w:r>
            <w:proofErr w:type="gramEnd"/>
            <w:r w:rsidRPr="006615E5">
              <w:rPr>
                <w:rFonts w:ascii="Arial" w:eastAsia="Times New Roman" w:hAnsi="Arial" w:cs="Arial"/>
                <w:color w:val="222222"/>
                <w:sz w:val="12"/>
                <w:szCs w:val="12"/>
                <w:lang w:eastAsia="ru-RU"/>
              </w:rPr>
              <w:t xml:space="preserve"> перечне мероприятий по снижению размеров потерь в сетях, а также о сроках их исполнения и источниках финансирования;</w:t>
            </w:r>
          </w:p>
        </w:tc>
        <w:tc>
          <w:tcPr>
            <w:tcW w:w="0" w:type="auto"/>
            <w:vMerge w:val="restart"/>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hyperlink r:id="rId10" w:history="1">
              <w:proofErr w:type="spellStart"/>
              <w:r w:rsidRPr="006615E5">
                <w:rPr>
                  <w:rFonts w:ascii="Arial" w:eastAsia="Times New Roman" w:hAnsi="Arial" w:cs="Arial"/>
                  <w:color w:val="2883D4"/>
                  <w:sz w:val="12"/>
                  <w:szCs w:val="12"/>
                  <w:u w:val="single"/>
                  <w:lang w:eastAsia="ru-RU"/>
                </w:rPr>
                <w:t>cсылка</w:t>
              </w:r>
              <w:proofErr w:type="spellEnd"/>
            </w:hyperlink>
          </w:p>
          <w:p w:rsidR="006615E5" w:rsidRPr="006615E5" w:rsidRDefault="006615E5" w:rsidP="006615E5">
            <w:pPr>
              <w:spacing w:after="0" w:line="240" w:lineRule="auto"/>
              <w:rPr>
                <w:rFonts w:ascii="Arial" w:eastAsia="Times New Roman" w:hAnsi="Arial" w:cs="Arial"/>
                <w:color w:val="222222"/>
                <w:sz w:val="21"/>
                <w:szCs w:val="21"/>
                <w:lang w:eastAsia="ru-RU"/>
              </w:rPr>
            </w:pPr>
            <w:hyperlink r:id="rId11" w:history="1">
              <w:r w:rsidRPr="006615E5">
                <w:rPr>
                  <w:rFonts w:ascii="Arial" w:eastAsia="Times New Roman" w:hAnsi="Arial" w:cs="Arial"/>
                  <w:color w:val="2883D4"/>
                  <w:sz w:val="12"/>
                  <w:szCs w:val="12"/>
                  <w:u w:val="single"/>
                  <w:lang w:eastAsia="ru-RU"/>
                </w:rPr>
                <w:t>ссылка</w:t>
              </w:r>
            </w:hyperlink>
          </w:p>
        </w:tc>
      </w:tr>
      <w:tr w:rsidR="006615E5" w:rsidRPr="006615E5" w:rsidTr="006615E5">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б</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10</w:t>
            </w: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11б.</w:t>
            </w:r>
            <w:proofErr w:type="gramStart"/>
            <w:r w:rsidRPr="006615E5">
              <w:rPr>
                <w:rFonts w:ascii="Arial" w:eastAsia="Times New Roman" w:hAnsi="Arial" w:cs="Arial"/>
                <w:color w:val="222222"/>
                <w:sz w:val="12"/>
                <w:szCs w:val="12"/>
                <w:lang w:eastAsia="ru-RU"/>
              </w:rPr>
              <w:t>10)о</w:t>
            </w:r>
            <w:proofErr w:type="gramEnd"/>
            <w:r w:rsidRPr="006615E5">
              <w:rPr>
                <w:rFonts w:ascii="Arial" w:eastAsia="Times New Roman" w:hAnsi="Arial" w:cs="Arial"/>
                <w:color w:val="222222"/>
                <w:sz w:val="12"/>
                <w:szCs w:val="12"/>
                <w:lang w:eastAsia="ru-RU"/>
              </w:rPr>
              <w:t xml:space="preserve"> закупке сетевыми организациями электрической энергии для компенсации потерь в сетях и ее стоимости;</w:t>
            </w: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r>
      <w:tr w:rsidR="006615E5" w:rsidRPr="006615E5" w:rsidTr="006615E5">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б</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w:t>
            </w: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11б.</w:t>
            </w:r>
            <w:proofErr w:type="gramStart"/>
            <w:r w:rsidRPr="006615E5">
              <w:rPr>
                <w:rFonts w:ascii="Arial" w:eastAsia="Times New Roman" w:hAnsi="Arial" w:cs="Arial"/>
                <w:color w:val="222222"/>
                <w:sz w:val="12"/>
                <w:szCs w:val="12"/>
                <w:lang w:eastAsia="ru-RU"/>
              </w:rPr>
              <w:t>11)о</w:t>
            </w:r>
            <w:proofErr w:type="gramEnd"/>
            <w:r w:rsidRPr="006615E5">
              <w:rPr>
                <w:rFonts w:ascii="Arial" w:eastAsia="Times New Roman" w:hAnsi="Arial" w:cs="Arial"/>
                <w:color w:val="222222"/>
                <w:sz w:val="12"/>
                <w:szCs w:val="12"/>
                <w:lang w:eastAsia="ru-RU"/>
              </w:rPr>
              <w:t xml:space="preserve"> размере фактических потерь, оплачиваемых покупателями при осуществлении расчетов за электрическую энергию по уровням напряжения;</w:t>
            </w: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r>
      <w:tr w:rsidR="006615E5" w:rsidRPr="006615E5" w:rsidTr="006615E5">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б</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12</w:t>
            </w: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11б.12) о перечне зон деятельности сетевой организации с детализацией по населенным пунктам и районам городов, определяемых в соответствии с границами балансовой принадлежности электросетевого хозяйства, находящегося в собственности сетевой организации или на ином законном основании;</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hyperlink r:id="rId12" w:history="1">
              <w:r w:rsidRPr="006615E5">
                <w:rPr>
                  <w:rFonts w:ascii="Arial" w:eastAsia="Times New Roman" w:hAnsi="Arial" w:cs="Arial"/>
                  <w:color w:val="2883D4"/>
                  <w:sz w:val="12"/>
                  <w:szCs w:val="12"/>
                  <w:u w:val="single"/>
                  <w:lang w:eastAsia="ru-RU"/>
                </w:rPr>
                <w:t>ссылка</w:t>
              </w:r>
            </w:hyperlink>
          </w:p>
        </w:tc>
      </w:tr>
      <w:tr w:rsidR="006615E5" w:rsidRPr="006615E5" w:rsidTr="006615E5">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б</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13</w:t>
            </w: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11б.13) о техническом состоянии сетей, в том числе:</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hyperlink r:id="rId13" w:history="1">
              <w:r w:rsidRPr="006615E5">
                <w:rPr>
                  <w:rFonts w:ascii="Arial" w:eastAsia="Times New Roman" w:hAnsi="Arial" w:cs="Arial"/>
                  <w:color w:val="2883D4"/>
                  <w:sz w:val="12"/>
                  <w:szCs w:val="12"/>
                  <w:u w:val="single"/>
                  <w:lang w:eastAsia="ru-RU"/>
                </w:rPr>
                <w:t>ссылка</w:t>
              </w:r>
            </w:hyperlink>
          </w:p>
        </w:tc>
      </w:tr>
      <w:tr w:rsidR="006615E5" w:rsidRPr="006615E5" w:rsidTr="006615E5">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б</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14</w:t>
            </w: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11б.14) о сводных данных об аварийных отключениях в месяц по границам территориальных зон деятельности организации, вызванных авариями или внеплановыми отключениями объектов электросетевого хозяйства, с указанием даты аварийного отключения объектов электросетевого хозяйства и включения их в работу, причин аварий (по итогам расследования в установленном порядке) и мероприятий по их устранению;</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hyperlink r:id="rId14" w:history="1">
              <w:r w:rsidRPr="006615E5">
                <w:rPr>
                  <w:rFonts w:ascii="Arial" w:eastAsia="Times New Roman" w:hAnsi="Arial" w:cs="Arial"/>
                  <w:color w:val="2883D4"/>
                  <w:sz w:val="12"/>
                  <w:szCs w:val="12"/>
                  <w:u w:val="single"/>
                  <w:lang w:eastAsia="ru-RU"/>
                </w:rPr>
                <w:t>ссылка</w:t>
              </w:r>
            </w:hyperlink>
          </w:p>
        </w:tc>
      </w:tr>
      <w:tr w:rsidR="006615E5" w:rsidRPr="006615E5" w:rsidTr="006615E5">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д</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w:t>
            </w: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xml:space="preserve">В отношении подстанций и распределительных пунктов напряжением ниже 35 </w:t>
            </w:r>
            <w:proofErr w:type="spellStart"/>
            <w:r w:rsidRPr="006615E5">
              <w:rPr>
                <w:rFonts w:ascii="Arial" w:eastAsia="Times New Roman" w:hAnsi="Arial" w:cs="Arial"/>
                <w:color w:val="222222"/>
                <w:sz w:val="12"/>
                <w:szCs w:val="12"/>
                <w:lang w:eastAsia="ru-RU"/>
              </w:rPr>
              <w:t>кВ</w:t>
            </w:r>
            <w:proofErr w:type="spellEnd"/>
            <w:r w:rsidRPr="006615E5">
              <w:rPr>
                <w:rFonts w:ascii="Arial" w:eastAsia="Times New Roman" w:hAnsi="Arial" w:cs="Arial"/>
                <w:color w:val="222222"/>
                <w:sz w:val="12"/>
                <w:szCs w:val="12"/>
                <w:lang w:eastAsia="ru-RU"/>
              </w:rPr>
              <w:t>: 11д) об условиях, на которых осуществляется поставка регулируемых товаров (работ, услуг) субъектами естественных монополий, и (или) об условиях договоров об осуществлении технологического присоединения к электрическим сетям с указанием типовых форм договоров об оказании услуг по передаче электрической энергии, типовых договоров об осуществлении технологического присоединения к электрическим сетям и источника официального опубликования нормативного правового акта, регулирующего условия этих договоров;</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hyperlink r:id="rId15" w:history="1">
              <w:r w:rsidRPr="006615E5">
                <w:rPr>
                  <w:rFonts w:ascii="Arial" w:eastAsia="Times New Roman" w:hAnsi="Arial" w:cs="Arial"/>
                  <w:color w:val="2883D4"/>
                  <w:sz w:val="12"/>
                  <w:szCs w:val="12"/>
                  <w:u w:val="single"/>
                  <w:lang w:eastAsia="ru-RU"/>
                </w:rPr>
                <w:t>ссылка</w:t>
              </w:r>
            </w:hyperlink>
          </w:p>
        </w:tc>
      </w:tr>
      <w:tr w:rsidR="006615E5" w:rsidRPr="006615E5" w:rsidTr="006615E5">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з</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w:t>
            </w: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xml:space="preserve">11з.2) о способах приобретения, стоимости и объемах </w:t>
            </w:r>
            <w:proofErr w:type="gramStart"/>
            <w:r w:rsidRPr="006615E5">
              <w:rPr>
                <w:rFonts w:ascii="Arial" w:eastAsia="Times New Roman" w:hAnsi="Arial" w:cs="Arial"/>
                <w:color w:val="222222"/>
                <w:sz w:val="12"/>
                <w:szCs w:val="12"/>
                <w:lang w:eastAsia="ru-RU"/>
              </w:rPr>
              <w:t>товаров ,</w:t>
            </w:r>
            <w:proofErr w:type="gramEnd"/>
            <w:r w:rsidRPr="006615E5">
              <w:rPr>
                <w:rFonts w:ascii="Arial" w:eastAsia="Times New Roman" w:hAnsi="Arial" w:cs="Arial"/>
                <w:color w:val="222222"/>
                <w:sz w:val="12"/>
                <w:szCs w:val="12"/>
                <w:lang w:eastAsia="ru-RU"/>
              </w:rPr>
              <w:t xml:space="preserve"> необходимых для оказания услуг по передаче электроэнергии, включая информацию: - о корпоративных правилах осуществления закупок (включая использование конкурсов, аукционов); - о проведении закупок товаров, необходимых для производства регулируемых услуг ( включая использование конкурсов, аукционов ), с указанием наименований товаров и предполагаемых объемов закупок;</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hyperlink r:id="rId16" w:history="1">
              <w:r w:rsidRPr="006615E5">
                <w:rPr>
                  <w:rFonts w:ascii="Arial" w:eastAsia="Times New Roman" w:hAnsi="Arial" w:cs="Arial"/>
                  <w:color w:val="2883D4"/>
                  <w:sz w:val="12"/>
                  <w:szCs w:val="12"/>
                  <w:u w:val="single"/>
                  <w:lang w:eastAsia="ru-RU"/>
                </w:rPr>
                <w:t>ссылка</w:t>
              </w:r>
            </w:hyperlink>
          </w:p>
        </w:tc>
      </w:tr>
      <w:tr w:rsidR="006615E5" w:rsidRPr="006615E5" w:rsidTr="006615E5">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ж</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w:t>
            </w:r>
          </w:p>
        </w:tc>
        <w:tc>
          <w:tcPr>
            <w:tcW w:w="0" w:type="auto"/>
            <w:vMerge w:val="restart"/>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FF0000"/>
                <w:sz w:val="12"/>
                <w:szCs w:val="12"/>
                <w:lang w:eastAsia="ru-RU"/>
              </w:rPr>
              <w:t>ежегодно, до 1 марта</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 ж) об инвестиционной программе (о проекте инвестиционной программы и (или) проекте изменений, вносимых в инвестиционную программу (далее - проект инвестиционной программы) и обосновывающих ее материалах, включая:</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hyperlink r:id="rId17" w:history="1">
              <w:r w:rsidRPr="006615E5">
                <w:rPr>
                  <w:rFonts w:ascii="Arial" w:eastAsia="Times New Roman" w:hAnsi="Arial" w:cs="Arial"/>
                  <w:color w:val="2883D4"/>
                  <w:sz w:val="12"/>
                  <w:szCs w:val="12"/>
                  <w:u w:val="single"/>
                  <w:lang w:eastAsia="ru-RU"/>
                </w:rPr>
                <w:t>ссылка</w:t>
              </w:r>
            </w:hyperlink>
          </w:p>
        </w:tc>
      </w:tr>
      <w:tr w:rsidR="006615E5" w:rsidRPr="006615E5" w:rsidTr="006615E5">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2*</w:t>
            </w: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xml:space="preserve">- перечни инвестиционных проектов на период реализации инвестиционной программы (проекта инвестиционной программы), реализуемых с использованием инвестиционных ресурсов, включаемых в регулируемые государством цены (тарифы), и инвестиционных проектов, реализуемых без использования указанных инвестиционных ресурсов, с указанием идентификаторов инвестиционных проектов, одной или нескольких целей реализации инвестиционных проектов (развитие электрической сети, усиление электрической сети, связанное с подключением новых потребителей, замещение (обновление) электрической сети, повышение надежности оказываемых услуг в сфере электроэнергетики, повышение качества оказываемых услуг в сфере электроэнергетики, выполнение требований законодательства Российской Федерации, предписаний органов исполнительной власти, регламентов рынков электрической энергии, повышение экономической эффективности (мероприятия, направленные на снижение эксплуатационных затрат) оказания услуг в сфере электроэнергетики, обеспечение текущей деятельности в сфере электроэнергетики (в том числе развитие информационной инфраструктуры, хозяйственное обеспечение деятельности), инвестиции, связанные с деятельностью, не относящейся к сфере электроэнергетики) и плановых значений количественных показателей инвестиционной программы (проекта </w:t>
            </w:r>
            <w:r w:rsidRPr="006615E5">
              <w:rPr>
                <w:rFonts w:ascii="Arial" w:eastAsia="Times New Roman" w:hAnsi="Arial" w:cs="Arial"/>
                <w:color w:val="222222"/>
                <w:sz w:val="12"/>
                <w:szCs w:val="12"/>
                <w:lang w:eastAsia="ru-RU"/>
              </w:rPr>
              <w:lastRenderedPageBreak/>
              <w:t>инвестиционной программы), указанных для каждого года ее реализации, в том числе показателей, характеризующих достижение указанных целей инвестиционной программы (проекта инвестиционной программы) по отдельным проектам (группам проектов, инвестиционной программе в целом). Под идентификатором инвестиционного проекта понимаются уникальное цифровое, буквенное, символьное обозначение или комбинации таких обозначений, включая коды, предназначенные для однозначного определения (идентификации) инвестиционного проекта. Идентификатор инвестиционного проекта определяется субъектом рынков электрической энергии однократно в соответствии с методическими указаниями, утверждаемыми Министерством энергетики Российской Федерации, и не меняется на протяжении всего срока реализации инвестиционного проекта, а также после завершения его реализации. Организация по управлению единой национальной (общероссийской) электрической сетью формирует указанные перечни инвестиционных проектов с распределением на инвестиционные проекты, по результатам выполнения которых обеспечивается соответствие объектов электроэнергетики, на строительство (реконструкцию, модернизацию) которых направлена реализация указанных инвестиционных проектов, критериям отнесения объектов электросетевого хозяйства к единой национальной (общероссийской) электрической сети, утвержденным постановлением Правительства Российской Федерации от 26 января2006 г. N 41 "О критериях отнесения объектов электросетевого хозяйства к единой национальной (общероссийской) электрической сети", а также иные инвестиционные проекты. Перечень и порядок расчета количественных показателей инвестиционной программы (проекта инвестиционной программы) определяются в соответствии с методическими указаниями, утверждаемыми Министерством энергетики Российской Федерации;</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hyperlink r:id="rId18" w:history="1">
              <w:r w:rsidRPr="006615E5">
                <w:rPr>
                  <w:rFonts w:ascii="Arial" w:eastAsia="Times New Roman" w:hAnsi="Arial" w:cs="Arial"/>
                  <w:color w:val="2883D4"/>
                  <w:sz w:val="12"/>
                  <w:szCs w:val="12"/>
                  <w:u w:val="single"/>
                  <w:lang w:eastAsia="ru-RU"/>
                </w:rPr>
                <w:t>Ссылка</w:t>
              </w:r>
            </w:hyperlink>
          </w:p>
        </w:tc>
      </w:tr>
      <w:tr w:rsidR="006615E5" w:rsidRPr="006615E5" w:rsidTr="006615E5">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3*</w:t>
            </w: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краткое описание инвестиционной программы (проекта инвестиционной программы) по основным направлениям инвестиционных проектов, в том числе включающее указание целей и обоснование необходимости реализации инвестиционных проектов, вводимой (выводимой) мощности и (или) других характеристик объектов инвестиционной деятельности, места расположения объектов инвестиционной деятельности, сроков ввода (вывода) объектов инвестиционной деятельности, в том числе сроков ввода (вывода) объектов электроэнергетики, показателей энергетической эффективности оборудования и других показателей инвестиционных проектов инвестиционной программы (проекта инвестиционной программы);</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hyperlink r:id="rId19" w:history="1">
              <w:r w:rsidRPr="006615E5">
                <w:rPr>
                  <w:rFonts w:ascii="Arial" w:eastAsia="Times New Roman" w:hAnsi="Arial" w:cs="Arial"/>
                  <w:color w:val="2883D4"/>
                  <w:sz w:val="12"/>
                  <w:szCs w:val="12"/>
                  <w:u w:val="single"/>
                  <w:lang w:eastAsia="ru-RU"/>
                </w:rPr>
                <w:t>Ссылка</w:t>
              </w:r>
            </w:hyperlink>
          </w:p>
        </w:tc>
      </w:tr>
      <w:tr w:rsidR="006615E5" w:rsidRPr="006615E5" w:rsidTr="006615E5">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4*</w:t>
            </w: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план финансирования и освоения капитальных вложений по инвестиционным проектам в отношении каждого года периода реализации инвестиционной программы (проекта инвестиционной программы) с указанием по каждому инвестиционному проекту планируемых источников финансирования, полной и остаточной стоимости инвестиционных проектов (по состоянию на начало календарного года, в котором раскрывается инвестиционная программа (проект инвестиционной программы), плановых объемов финансирования и освоения капитальных вложений в отношении каждого года периода реализации инвестиционной программы (проекта инвестиционной программы);</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hyperlink r:id="rId20" w:history="1">
              <w:r w:rsidRPr="006615E5">
                <w:rPr>
                  <w:rFonts w:ascii="Arial" w:eastAsia="Times New Roman" w:hAnsi="Arial" w:cs="Arial"/>
                  <w:color w:val="2883D4"/>
                  <w:sz w:val="12"/>
                  <w:szCs w:val="12"/>
                  <w:u w:val="single"/>
                  <w:lang w:eastAsia="ru-RU"/>
                </w:rPr>
                <w:t>Ссылка</w:t>
              </w:r>
            </w:hyperlink>
          </w:p>
        </w:tc>
      </w:tr>
      <w:tr w:rsidR="006615E5" w:rsidRPr="006615E5" w:rsidTr="006615E5">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5</w:t>
            </w: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результаты расчетов объемов финансовых потребностей, необходимых для строительства объектов электроэнергетики, выполненных в соответствии с укрупненными нормативами цены типовых технологических решений капитального строительства объектов электроэнергетики, утвержденными Министерством энергетики Российской Федерации, а также информацию об использованных при таких расчетах типовых технологических решениях капитального строительства объектов электроэнергетики, их технических показателях и о соответствующих им укрупненных нормативах цены;</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Ссылка</w:t>
            </w:r>
          </w:p>
        </w:tc>
      </w:tr>
      <w:tr w:rsidR="006615E5" w:rsidRPr="006615E5" w:rsidTr="006615E5">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6*</w:t>
            </w: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план ввода основных средств в натуральном и стоимостном выражении с разделением по инвестиционным проектам, составленный на период реализации инвестиционной программы (проекта инвестиционной программы), в том числе с распределением по кварталам в 1-м году реализации инвестиционной программы (проекта инвестиционной программы) и году, в котором раскрывается инвестиционная программа (если применимо);</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hyperlink r:id="rId21" w:history="1">
              <w:r w:rsidRPr="006615E5">
                <w:rPr>
                  <w:rFonts w:ascii="Arial" w:eastAsia="Times New Roman" w:hAnsi="Arial" w:cs="Arial"/>
                  <w:color w:val="2883D4"/>
                  <w:sz w:val="12"/>
                  <w:szCs w:val="12"/>
                  <w:u w:val="single"/>
                  <w:lang w:eastAsia="ru-RU"/>
                </w:rPr>
                <w:t>Ссылка</w:t>
              </w:r>
            </w:hyperlink>
          </w:p>
        </w:tc>
      </w:tr>
      <w:tr w:rsidR="006615E5" w:rsidRPr="006615E5" w:rsidTr="006615E5">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7</w:t>
            </w: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финансовый план субъекта электроэнергетики, составленный на период реализации инвестиционной программы (проекта инвестиционной программы), начиная с 1-го года ее реализации, с разделением по видам деятельности (в том числе регулируемым государством), а также с указанием источников и способов финансирования инвестиционной программы (проекта инвестиционной программы) и отчетных показателей исполнения финансового плана субъекта электроэнергетики за предыдущий и текущий годы;</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hyperlink r:id="rId22" w:history="1">
              <w:r w:rsidRPr="006615E5">
                <w:rPr>
                  <w:rFonts w:ascii="Arial" w:eastAsia="Times New Roman" w:hAnsi="Arial" w:cs="Arial"/>
                  <w:color w:val="2883D4"/>
                  <w:sz w:val="12"/>
                  <w:szCs w:val="12"/>
                  <w:u w:val="single"/>
                  <w:lang w:eastAsia="ru-RU"/>
                </w:rPr>
                <w:t>Ссылка</w:t>
              </w:r>
            </w:hyperlink>
          </w:p>
        </w:tc>
      </w:tr>
      <w:tr w:rsidR="006615E5" w:rsidRPr="006615E5" w:rsidTr="006615E5">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8*</w:t>
            </w: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перечень субъектов Российской Федерации, на территории которых инвестиционной программой (проектом инвестиционной программы) организации по управлению единой национальной (общероссийской) электрической сетью предусматривается строительство (реконструкция, модернизация, техническое перевооружение) объектов электросетевого хозяйства, а также находятся объекты электросетевого хозяйства, входящие в единую национальную (общероссийскую) электрическую сеть и не принадлежащие на праве собственности указанной организации (раскрывается организацией по управлению единой национальной (общероссийской) электрической сетью);</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hyperlink r:id="rId23" w:history="1">
              <w:r w:rsidRPr="006615E5">
                <w:rPr>
                  <w:rFonts w:ascii="Arial" w:eastAsia="Times New Roman" w:hAnsi="Arial" w:cs="Arial"/>
                  <w:color w:val="2883D4"/>
                  <w:sz w:val="12"/>
                  <w:szCs w:val="12"/>
                  <w:u w:val="single"/>
                  <w:lang w:eastAsia="ru-RU"/>
                </w:rPr>
                <w:t>Ссылка</w:t>
              </w:r>
            </w:hyperlink>
          </w:p>
        </w:tc>
      </w:tr>
      <w:tr w:rsidR="006615E5" w:rsidRPr="006615E5" w:rsidTr="006615E5">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9</w:t>
            </w: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паспорта инвестиционных проектов, предусмотренных инвестиционной программой (проектом инвестиционной программы), содержащие информацию, предусмотренную пунктом 11(8) настоящего документа;</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hyperlink r:id="rId24" w:history="1">
              <w:r w:rsidRPr="006615E5">
                <w:rPr>
                  <w:rFonts w:ascii="Arial" w:eastAsia="Times New Roman" w:hAnsi="Arial" w:cs="Arial"/>
                  <w:color w:val="2883D4"/>
                  <w:sz w:val="12"/>
                  <w:szCs w:val="12"/>
                  <w:u w:val="single"/>
                  <w:lang w:eastAsia="ru-RU"/>
                </w:rPr>
                <w:t>Ссылка</w:t>
              </w:r>
            </w:hyperlink>
          </w:p>
        </w:tc>
      </w:tr>
      <w:tr w:rsidR="006615E5" w:rsidRPr="006615E5" w:rsidTr="006615E5">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10*</w:t>
            </w: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значения целевых показателей для целей формирования инвестиционной программы, установленные в порядке, утвержденном Министерством энергетики Российской Федерации;</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hyperlink r:id="rId25" w:history="1">
              <w:r w:rsidRPr="006615E5">
                <w:rPr>
                  <w:rFonts w:ascii="Arial" w:eastAsia="Times New Roman" w:hAnsi="Arial" w:cs="Arial"/>
                  <w:color w:val="2883D4"/>
                  <w:sz w:val="12"/>
                  <w:szCs w:val="12"/>
                  <w:u w:val="single"/>
                  <w:lang w:eastAsia="ru-RU"/>
                </w:rPr>
                <w:t>Ссылка</w:t>
              </w:r>
            </w:hyperlink>
          </w:p>
        </w:tc>
      </w:tr>
      <w:tr w:rsidR="006615E5" w:rsidRPr="006615E5" w:rsidTr="006615E5">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lastRenderedPageBreak/>
              <w:t> </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w:t>
            </w: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материалы, обосновывающие стоимость инвестиционных проектов, предусмотренных инвестиционной программой (проектом инвестиционной программы), в том числе пояснительную записку, сметные расчеты и иные документы и расчеты, которые, по мнению сетевой организации, могут служить обоснованием стоимости указанных инвестиционных проектов</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hyperlink r:id="rId26" w:history="1">
              <w:r w:rsidRPr="006615E5">
                <w:rPr>
                  <w:rFonts w:ascii="Arial" w:eastAsia="Times New Roman" w:hAnsi="Arial" w:cs="Arial"/>
                  <w:color w:val="2883D4"/>
                  <w:sz w:val="12"/>
                  <w:szCs w:val="12"/>
                  <w:u w:val="single"/>
                  <w:lang w:eastAsia="ru-RU"/>
                </w:rPr>
                <w:t>Ссылка</w:t>
              </w:r>
            </w:hyperlink>
          </w:p>
        </w:tc>
      </w:tr>
      <w:tr w:rsidR="006615E5" w:rsidRPr="006615E5" w:rsidTr="006615E5">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12</w:t>
            </w: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программу научно-исследовательских и (или) опытно-конструкторских работ на период реализации инвестиционной программы (проекта инвестиционной программы) с распределением по годам и описанием содержания работ (при наличии таковой);</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Ссылка</w:t>
            </w:r>
          </w:p>
        </w:tc>
      </w:tr>
      <w:tr w:rsidR="006615E5" w:rsidRPr="006615E5" w:rsidTr="006615E5">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13</w:t>
            </w: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копию решения об одобрении проекта инвестиционной программы советом директоров (наблюдательным советом) сетевой организации, а при отсутствии совета директоров (наблюдательного совета) - коллегиальным (единоличным) исполнительным органом управления или иным уполномоченным органом сетевой организации (не раскрывается при опубликовании информации о проекте инвестиционной программы в случаях, если сроки раскрытия такой информации в соответствии с пунктом 12 настоящего документа предусмотрены Правилами утверждения инвестиционных программ субъектов электроэнергетики, утвержденными постановлением Правительства Российской Федерации от 1 декабря2009 г. N 977 "Об инвестиционных программах субъектов электроэнергетики" (далее - Правила утверждения инвестиционных программ субъектов электроэнергетики);</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Ссылка</w:t>
            </w:r>
          </w:p>
        </w:tc>
      </w:tr>
      <w:tr w:rsidR="006615E5" w:rsidRPr="006615E5" w:rsidTr="006615E5">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14</w:t>
            </w: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программу по энергосбережению и повышению энергетической эффективности (для организаций, которые в соответствии с законодательством об энергосбережении и о повышении энергетической эффективности утверждают и реализовывают программы в области энергосбережения и повышения энергетической эффективности);</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hyperlink r:id="rId27" w:history="1">
              <w:r w:rsidRPr="006615E5">
                <w:rPr>
                  <w:rFonts w:ascii="Arial" w:eastAsia="Times New Roman" w:hAnsi="Arial" w:cs="Arial"/>
                  <w:color w:val="2883D4"/>
                  <w:sz w:val="12"/>
                  <w:szCs w:val="12"/>
                  <w:u w:val="single"/>
                  <w:lang w:eastAsia="ru-RU"/>
                </w:rPr>
                <w:t>Ссылка</w:t>
              </w:r>
            </w:hyperlink>
          </w:p>
        </w:tc>
      </w:tr>
      <w:tr w:rsidR="006615E5" w:rsidRPr="006615E5" w:rsidTr="006615E5">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15</w:t>
            </w: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заключения (отчеты) по результатам проведения технологического и ценового аудита инвестиционных проектов строительства объектов электроэнергетики в случаях, если получение таких заключений (отчетов) является обязательным;</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hyperlink r:id="rId28" w:history="1">
              <w:r w:rsidRPr="006615E5">
                <w:rPr>
                  <w:rFonts w:ascii="Arial" w:eastAsia="Times New Roman" w:hAnsi="Arial" w:cs="Arial"/>
                  <w:color w:val="2883D4"/>
                  <w:sz w:val="12"/>
                  <w:szCs w:val="12"/>
                  <w:u w:val="single"/>
                  <w:lang w:eastAsia="ru-RU"/>
                </w:rPr>
                <w:t>Ссылка</w:t>
              </w:r>
            </w:hyperlink>
          </w:p>
        </w:tc>
      </w:tr>
      <w:tr w:rsidR="006615E5" w:rsidRPr="006615E5" w:rsidTr="006615E5">
        <w:tc>
          <w:tcPr>
            <w:tcW w:w="0" w:type="auto"/>
            <w:vMerge w:val="restart"/>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16</w:t>
            </w: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заключение по результатам проведения технологического и ценового аудита инвестиционной программы (проекта инвестиционной программы) (при наличии такового), выполненное в соответствии с методическими рекомендациями, предусмотренными пунктом 5 постановления Правительства Российской Федерации от 16 февраля2015 г. N 132 "О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 и контроля за их реализацией";</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hyperlink r:id="rId29" w:history="1">
              <w:r w:rsidRPr="006615E5">
                <w:rPr>
                  <w:rFonts w:ascii="Arial" w:eastAsia="Times New Roman" w:hAnsi="Arial" w:cs="Arial"/>
                  <w:color w:val="2883D4"/>
                  <w:sz w:val="12"/>
                  <w:szCs w:val="12"/>
                  <w:u w:val="single"/>
                  <w:lang w:eastAsia="ru-RU"/>
                </w:rPr>
                <w:t>Ссылка</w:t>
              </w:r>
            </w:hyperlink>
          </w:p>
        </w:tc>
      </w:tr>
      <w:tr w:rsidR="006615E5" w:rsidRPr="006615E5" w:rsidTr="006615E5">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17</w:t>
            </w: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информацию о наличии у сетевой организации предусмотренных законодательством Российской Федерации о приватизации инвестиционных обязательств в отношении объектов электросетевого хозяйства, а также об условиях таких обязательств.</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hyperlink r:id="rId30" w:history="1">
              <w:r w:rsidRPr="006615E5">
                <w:rPr>
                  <w:rFonts w:ascii="Arial" w:eastAsia="Times New Roman" w:hAnsi="Arial" w:cs="Arial"/>
                  <w:color w:val="2883D4"/>
                  <w:sz w:val="12"/>
                  <w:szCs w:val="12"/>
                  <w:u w:val="single"/>
                  <w:lang w:eastAsia="ru-RU"/>
                </w:rPr>
                <w:t>Ссылка</w:t>
              </w:r>
            </w:hyperlink>
          </w:p>
        </w:tc>
      </w:tr>
      <w:tr w:rsidR="006615E5" w:rsidRPr="006615E5" w:rsidTr="006615E5">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w:t>
            </w: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xml:space="preserve">* Формы раскрытия сетевой организацией информации об инвестиционной программе (о проекте инвестиционной программы и (или) проекте изменений, вносимых в инвестиционную программу) и обосновывающих ее материалах, указанной в абзацах втором - четвертом, шестом, восьмом и десятом подпункта "ж" пункта 11 стандартов раскрытия </w:t>
            </w:r>
            <w:proofErr w:type="spellStart"/>
            <w:r w:rsidRPr="006615E5">
              <w:rPr>
                <w:rFonts w:ascii="Arial" w:eastAsia="Times New Roman" w:hAnsi="Arial" w:cs="Arial"/>
                <w:color w:val="222222"/>
                <w:sz w:val="12"/>
                <w:szCs w:val="12"/>
                <w:lang w:eastAsia="ru-RU"/>
              </w:rPr>
              <w:t>информации,раскрываются</w:t>
            </w:r>
            <w:proofErr w:type="spellEnd"/>
            <w:r w:rsidRPr="006615E5">
              <w:rPr>
                <w:rFonts w:ascii="Arial" w:eastAsia="Times New Roman" w:hAnsi="Arial" w:cs="Arial"/>
                <w:color w:val="222222"/>
                <w:sz w:val="12"/>
                <w:szCs w:val="12"/>
                <w:lang w:eastAsia="ru-RU"/>
              </w:rPr>
              <w:t xml:space="preserve"> согласно приложениям N 1 - 19 к Приказу Минэнерго России от 05.05.2016 N 380 "Об утверждении форм раскрытия сетевой организацией информации об инвестиционной программе (о проекте инвестиционной программы и (или) проекте изменений, вносимых в инвестиционную программу) и обосновывающих ее материалах, указанной в абзацах втором - четвертом, шестом, восьмом и десятом подпункта "ж" пункта 11 стандартов раскрытия информации субъектами оптового и розничных рынков электрической энергии, утвержденных постановлением Правительства Российской Федерации от 21 января2004 г. N 24, правил заполнения указанных форм и требований к форматам раскрытия сетевой организацией электронных документов, содержащих информацию об инвестиционной программе (о проекте инвестиционной программы и (или) проекте изменений, вносимых в инвестиционную программу) и обосновывающих ее материалах" (далее-Приказ Минэнерго № 380);</w:t>
            </w:r>
            <w:r w:rsidRPr="006615E5">
              <w:rPr>
                <w:rFonts w:ascii="Arial" w:eastAsia="Times New Roman" w:hAnsi="Arial" w:cs="Arial"/>
                <w:color w:val="222222"/>
                <w:sz w:val="12"/>
                <w:szCs w:val="12"/>
                <w:lang w:eastAsia="ru-RU"/>
              </w:rPr>
              <w:br/>
              <w:t>Правила заполнения форм раскрытия сетевой организацией информации об инвестиционной программе (о проекте инвестиционной программы и (или) проекте изменений, вносимых в инвестиционную программу) и обосновывающих ее материалах, указанной в абзацах втором - четвертом, шестом, восьмом и десятом подпункта "ж" пункта 11 стандартов раскрытия информации, раскрываются согласно приложению N 20 к Приказу Минэнерго № 380;</w:t>
            </w:r>
            <w:r w:rsidRPr="006615E5">
              <w:rPr>
                <w:rFonts w:ascii="Arial" w:eastAsia="Times New Roman" w:hAnsi="Arial" w:cs="Arial"/>
                <w:color w:val="222222"/>
                <w:sz w:val="12"/>
                <w:szCs w:val="12"/>
                <w:lang w:eastAsia="ru-RU"/>
              </w:rPr>
              <w:br/>
              <w:t>Требования к форматам раскрытия сетевой организацией электронных документов, содержащих информацию об инвестиционной программе (о проекте инвестиционной программы и (или) проекте изменений, вносимых в инвестиционную программу) и обосновывающих ее материалах, раскрываются согласно приложению N 21 к Приказу Минэнерго № 380.</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w:t>
            </w:r>
          </w:p>
        </w:tc>
      </w:tr>
      <w:tr w:rsidR="006615E5" w:rsidRPr="006615E5" w:rsidTr="006615E5">
        <w:tc>
          <w:tcPr>
            <w:tcW w:w="0" w:type="auto"/>
            <w:vMerge w:val="restart"/>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w:t>
            </w:r>
          </w:p>
        </w:tc>
        <w:tc>
          <w:tcPr>
            <w:tcW w:w="0" w:type="auto"/>
            <w:vMerge w:val="restart"/>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ж</w:t>
            </w:r>
          </w:p>
        </w:tc>
        <w:tc>
          <w:tcPr>
            <w:tcW w:w="0" w:type="auto"/>
            <w:vMerge w:val="restart"/>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w:t>
            </w:r>
          </w:p>
        </w:tc>
        <w:tc>
          <w:tcPr>
            <w:tcW w:w="0" w:type="auto"/>
            <w:vMerge w:val="restart"/>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ежегодно, до 1 апреля, по результатам исполнения инвестиционной программы за предыдущий календарный год, а также</w:t>
            </w:r>
          </w:p>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xml:space="preserve">ежеквартально не позднее 45 дней после </w:t>
            </w:r>
            <w:proofErr w:type="spellStart"/>
            <w:r w:rsidRPr="006615E5">
              <w:rPr>
                <w:rFonts w:ascii="Arial" w:eastAsia="Times New Roman" w:hAnsi="Arial" w:cs="Arial"/>
                <w:color w:val="222222"/>
                <w:sz w:val="12"/>
                <w:szCs w:val="12"/>
                <w:lang w:eastAsia="ru-RU"/>
              </w:rPr>
              <w:t>окочания</w:t>
            </w:r>
            <w:proofErr w:type="spellEnd"/>
            <w:r w:rsidRPr="006615E5">
              <w:rPr>
                <w:rFonts w:ascii="Arial" w:eastAsia="Times New Roman" w:hAnsi="Arial" w:cs="Arial"/>
                <w:color w:val="222222"/>
                <w:sz w:val="12"/>
                <w:szCs w:val="12"/>
                <w:lang w:eastAsia="ru-RU"/>
              </w:rPr>
              <w:t xml:space="preserve"> отчетного квартала</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"ж(1)) об отчетах о реализации инвестиционной программы и об обосновывающих их материалах, включая:</w:t>
            </w:r>
            <w:r w:rsidRPr="006615E5">
              <w:rPr>
                <w:rFonts w:ascii="Arial" w:eastAsia="Times New Roman" w:hAnsi="Arial" w:cs="Arial"/>
                <w:color w:val="222222"/>
                <w:sz w:val="12"/>
                <w:szCs w:val="12"/>
                <w:lang w:eastAsia="ru-RU"/>
              </w:rPr>
              <w:br/>
              <w:t>"отчет о реализации инвестиционной программы, сформированный с распределением по перечням инвестиционных проектов, с указанием фактических:</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hyperlink r:id="rId31" w:history="1">
              <w:r w:rsidRPr="006615E5">
                <w:rPr>
                  <w:rFonts w:ascii="Arial" w:eastAsia="Times New Roman" w:hAnsi="Arial" w:cs="Arial"/>
                  <w:color w:val="2883D4"/>
                  <w:sz w:val="12"/>
                  <w:szCs w:val="12"/>
                  <w:u w:val="single"/>
                  <w:lang w:eastAsia="ru-RU"/>
                </w:rPr>
                <w:t>ссылка</w:t>
              </w:r>
            </w:hyperlink>
          </w:p>
        </w:tc>
      </w:tr>
      <w:tr w:rsidR="006615E5" w:rsidRPr="006615E5" w:rsidTr="006615E5">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введенной (выведенной) мощности и (или) других характеристик объектов инвестиционной деятельности, предусмотренных соответствующими инвестиционными проектами, а также дат ввода (вывода) указанных объектов;</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hyperlink r:id="rId32" w:history="1">
              <w:r w:rsidRPr="006615E5">
                <w:rPr>
                  <w:rFonts w:ascii="Arial" w:eastAsia="Times New Roman" w:hAnsi="Arial" w:cs="Arial"/>
                  <w:color w:val="2883D4"/>
                  <w:sz w:val="12"/>
                  <w:szCs w:val="12"/>
                  <w:u w:val="single"/>
                  <w:lang w:eastAsia="ru-RU"/>
                </w:rPr>
                <w:t>ссылка</w:t>
              </w:r>
            </w:hyperlink>
          </w:p>
        </w:tc>
      </w:tr>
      <w:tr w:rsidR="006615E5" w:rsidRPr="006615E5" w:rsidTr="006615E5">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объемов финансирования и освоения капитальных вложений, а также источников финансирования инвестиционных проектов инвестиционной программы;</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hyperlink r:id="rId33" w:history="1">
              <w:r w:rsidRPr="006615E5">
                <w:rPr>
                  <w:rFonts w:ascii="Arial" w:eastAsia="Times New Roman" w:hAnsi="Arial" w:cs="Arial"/>
                  <w:color w:val="2883D4"/>
                  <w:sz w:val="12"/>
                  <w:szCs w:val="12"/>
                  <w:u w:val="single"/>
                  <w:lang w:eastAsia="ru-RU"/>
                </w:rPr>
                <w:t>ссылка</w:t>
              </w:r>
            </w:hyperlink>
          </w:p>
        </w:tc>
      </w:tr>
      <w:tr w:rsidR="006615E5" w:rsidRPr="006615E5" w:rsidTr="006615E5">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объемов ввода объектов основных средств в натуральном и стоимостном выражении по инвестиционным проектам инвестиционной программы;</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hyperlink r:id="rId34" w:history="1">
              <w:r w:rsidRPr="006615E5">
                <w:rPr>
                  <w:rFonts w:ascii="Arial" w:eastAsia="Times New Roman" w:hAnsi="Arial" w:cs="Arial"/>
                  <w:color w:val="2883D4"/>
                  <w:sz w:val="12"/>
                  <w:szCs w:val="12"/>
                  <w:u w:val="single"/>
                  <w:lang w:eastAsia="ru-RU"/>
                </w:rPr>
                <w:t>ссылка</w:t>
              </w:r>
            </w:hyperlink>
          </w:p>
        </w:tc>
      </w:tr>
      <w:tr w:rsidR="006615E5" w:rsidRPr="006615E5" w:rsidTr="006615E5">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xml:space="preserve">- стоимостных, технических, количественных и иных показателей технологических решений капитального строительства введенных в эксплуатацию объектов электроэнергетики, соответствующих </w:t>
            </w:r>
            <w:r w:rsidRPr="006615E5">
              <w:rPr>
                <w:rFonts w:ascii="Arial" w:eastAsia="Times New Roman" w:hAnsi="Arial" w:cs="Arial"/>
                <w:color w:val="222222"/>
                <w:sz w:val="12"/>
                <w:szCs w:val="12"/>
                <w:lang w:eastAsia="ru-RU"/>
              </w:rPr>
              <w:lastRenderedPageBreak/>
              <w:t>типовым технологическим решениям капитального строительства объектов электроэнергетики, в отношении которых Министерством энергетики Российской Федерации установлены укрупненные нормативы цены;</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lastRenderedPageBreak/>
              <w:t>ссылка</w:t>
            </w:r>
          </w:p>
        </w:tc>
      </w:tr>
      <w:tr w:rsidR="006615E5" w:rsidRPr="006615E5" w:rsidTr="006615E5">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xml:space="preserve">- значений количественных показателей инвестиционной программы и достигнутых результатов в части, касающейся расширения пропускной способности, снижения потерь в сетях и увеличения резерва для присоединения потребителей отдельно по каждому центру питания напряжением 35 </w:t>
            </w:r>
            <w:proofErr w:type="spellStart"/>
            <w:r w:rsidRPr="006615E5">
              <w:rPr>
                <w:rFonts w:ascii="Arial" w:eastAsia="Times New Roman" w:hAnsi="Arial" w:cs="Arial"/>
                <w:color w:val="222222"/>
                <w:sz w:val="12"/>
                <w:szCs w:val="12"/>
                <w:lang w:eastAsia="ru-RU"/>
              </w:rPr>
              <w:t>кВ</w:t>
            </w:r>
            <w:proofErr w:type="spellEnd"/>
            <w:r w:rsidRPr="006615E5">
              <w:rPr>
                <w:rFonts w:ascii="Arial" w:eastAsia="Times New Roman" w:hAnsi="Arial" w:cs="Arial"/>
                <w:color w:val="222222"/>
                <w:sz w:val="12"/>
                <w:szCs w:val="12"/>
                <w:lang w:eastAsia="ru-RU"/>
              </w:rPr>
              <w:t xml:space="preserve"> и выше;</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hyperlink r:id="rId35" w:history="1">
              <w:r w:rsidRPr="006615E5">
                <w:rPr>
                  <w:rFonts w:ascii="Arial" w:eastAsia="Times New Roman" w:hAnsi="Arial" w:cs="Arial"/>
                  <w:color w:val="2883D4"/>
                  <w:sz w:val="12"/>
                  <w:szCs w:val="12"/>
                  <w:u w:val="single"/>
                  <w:lang w:eastAsia="ru-RU"/>
                </w:rPr>
                <w:t>ссылка</w:t>
              </w:r>
            </w:hyperlink>
          </w:p>
        </w:tc>
      </w:tr>
      <w:tr w:rsidR="006615E5" w:rsidRPr="006615E5" w:rsidTr="006615E5">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отчет о выполненных закупках товаров, работ и услуг для реализации утвержденной инвестиционной программы с распределением по каждому инвестиционному проекту;</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hyperlink r:id="rId36" w:history="1">
              <w:r w:rsidRPr="006615E5">
                <w:rPr>
                  <w:rFonts w:ascii="Arial" w:eastAsia="Times New Roman" w:hAnsi="Arial" w:cs="Arial"/>
                  <w:color w:val="2883D4"/>
                  <w:sz w:val="12"/>
                  <w:szCs w:val="12"/>
                  <w:u w:val="single"/>
                  <w:lang w:eastAsia="ru-RU"/>
                </w:rPr>
                <w:t>ссылка</w:t>
              </w:r>
            </w:hyperlink>
          </w:p>
        </w:tc>
      </w:tr>
      <w:tr w:rsidR="006615E5" w:rsidRPr="006615E5" w:rsidTr="006615E5">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отчет об исполнении финансового плана субъекта электроэнергетики;</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hyperlink r:id="rId37" w:history="1">
              <w:r w:rsidRPr="006615E5">
                <w:rPr>
                  <w:rFonts w:ascii="Arial" w:eastAsia="Times New Roman" w:hAnsi="Arial" w:cs="Arial"/>
                  <w:color w:val="2883D4"/>
                  <w:sz w:val="12"/>
                  <w:szCs w:val="12"/>
                  <w:u w:val="single"/>
                  <w:lang w:eastAsia="ru-RU"/>
                </w:rPr>
                <w:t>ссылка</w:t>
              </w:r>
            </w:hyperlink>
          </w:p>
        </w:tc>
      </w:tr>
      <w:tr w:rsidR="006615E5" w:rsidRPr="006615E5" w:rsidTr="006615E5">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-паспорта инвестиционных проектов, содержащие информацию, предусмотренную пунктом 11(8) настоящего документа, по состоянию на отчетную дату;</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hyperlink r:id="rId38" w:history="1">
              <w:r w:rsidRPr="006615E5">
                <w:rPr>
                  <w:rFonts w:ascii="Arial" w:eastAsia="Times New Roman" w:hAnsi="Arial" w:cs="Arial"/>
                  <w:color w:val="2883D4"/>
                  <w:sz w:val="12"/>
                  <w:szCs w:val="12"/>
                  <w:u w:val="single"/>
                  <w:lang w:eastAsia="ru-RU"/>
                </w:rPr>
                <w:t>ссылка</w:t>
              </w:r>
            </w:hyperlink>
          </w:p>
        </w:tc>
      </w:tr>
      <w:tr w:rsidR="006615E5" w:rsidRPr="006615E5" w:rsidTr="006615E5">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заключение по результатам проведения технологического и ценового аудита отчета о реализации инвестиционной программы (при наличии такового), выполненное в соответствии с методическими рекомендациями, предусмотренными пунктом 5 постановления Правительства Российской Федерации от 16 февраля2015 г. N 132 "О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 и контроля за их реализацией";</w:t>
            </w:r>
          </w:p>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Информация, указанная в абзацах втором - десятом подпункта "ж(1)" пункта 11 настоящего документа, раскрывается в форме электронных документов в соответствии с формами, правилами заполнения указанных форм и требованиями к их форматам раскрытия, утверждаемыми Министерством энергетики Российской Федерации по согласованию с Министерством связи и массовых коммуникаций Российской Федерации.</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hyperlink r:id="rId39" w:history="1">
              <w:r w:rsidRPr="006615E5">
                <w:rPr>
                  <w:rFonts w:ascii="Arial" w:eastAsia="Times New Roman" w:hAnsi="Arial" w:cs="Arial"/>
                  <w:color w:val="2883D4"/>
                  <w:sz w:val="12"/>
                  <w:szCs w:val="12"/>
                  <w:u w:val="single"/>
                  <w:lang w:eastAsia="ru-RU"/>
                </w:rPr>
                <w:t>ссылка</w:t>
              </w:r>
            </w:hyperlink>
          </w:p>
        </w:tc>
      </w:tr>
      <w:tr w:rsidR="006615E5" w:rsidRPr="006615E5" w:rsidTr="006615E5">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9</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б</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w:t>
            </w:r>
          </w:p>
        </w:tc>
        <w:tc>
          <w:tcPr>
            <w:tcW w:w="0" w:type="auto"/>
            <w:vMerge w:val="restart"/>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xml:space="preserve">ежегодно, до 1 </w:t>
            </w:r>
            <w:proofErr w:type="gramStart"/>
            <w:r w:rsidRPr="006615E5">
              <w:rPr>
                <w:rFonts w:ascii="Arial" w:eastAsia="Times New Roman" w:hAnsi="Arial" w:cs="Arial"/>
                <w:color w:val="222222"/>
                <w:sz w:val="12"/>
                <w:szCs w:val="12"/>
                <w:lang w:eastAsia="ru-RU"/>
              </w:rPr>
              <w:t>апреля(</w:t>
            </w:r>
            <w:proofErr w:type="gramEnd"/>
            <w:r w:rsidRPr="006615E5">
              <w:rPr>
                <w:rFonts w:ascii="Arial" w:eastAsia="Times New Roman" w:hAnsi="Arial" w:cs="Arial"/>
                <w:color w:val="222222"/>
                <w:sz w:val="12"/>
                <w:szCs w:val="12"/>
                <w:lang w:eastAsia="ru-RU"/>
              </w:rPr>
              <w:t>за предыдущий период регулирования)</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9б) структура и объем затрат на производство и реализацию товаров (работ, услуг); Информация, указанная в п. 9 б Стандартов, должна быть раскрыта по форме, утвержденной Приказом ФСТ России от 24.10.2014г. № 1831– э «Об утверждении форм раскрытия информации субъектами рынков электрической энергии и мощности, являющимися субъектами естественных монополий».</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hyperlink r:id="rId40" w:history="1">
              <w:r w:rsidRPr="006615E5">
                <w:rPr>
                  <w:rFonts w:ascii="Arial" w:eastAsia="Times New Roman" w:hAnsi="Arial" w:cs="Arial"/>
                  <w:color w:val="2883D4"/>
                  <w:sz w:val="12"/>
                  <w:szCs w:val="12"/>
                  <w:u w:val="single"/>
                  <w:lang w:eastAsia="ru-RU"/>
                </w:rPr>
                <w:t>ссылка</w:t>
              </w:r>
            </w:hyperlink>
          </w:p>
        </w:tc>
      </w:tr>
      <w:tr w:rsidR="006615E5" w:rsidRPr="006615E5" w:rsidTr="006615E5">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9</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в</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w:t>
            </w: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xml:space="preserve">9в) в случае применения метода доходности инвестированного капитала при государственном регулировании тарифов в отношении субъектов рынков электрической энергии: - подконтрольные (операционные) и не подконтрольные расходы, включаемые в НВВ (необходимую валовую выручку) норма доходности инвестированного капитала, установленная федеральным органом исполнительной власти по регулированию естественных монополий (с указанием акта об утверждении нормы доходности на инвестированный капитал), фактический уровень доходности инвестированного </w:t>
            </w:r>
            <w:proofErr w:type="spellStart"/>
            <w:r w:rsidRPr="006615E5">
              <w:rPr>
                <w:rFonts w:ascii="Arial" w:eastAsia="Times New Roman" w:hAnsi="Arial" w:cs="Arial"/>
                <w:color w:val="222222"/>
                <w:sz w:val="12"/>
                <w:szCs w:val="12"/>
                <w:lang w:eastAsia="ru-RU"/>
              </w:rPr>
              <w:t>капиталла</w:t>
            </w:r>
            <w:proofErr w:type="spellEnd"/>
            <w:r w:rsidRPr="006615E5">
              <w:rPr>
                <w:rFonts w:ascii="Arial" w:eastAsia="Times New Roman" w:hAnsi="Arial" w:cs="Arial"/>
                <w:color w:val="222222"/>
                <w:sz w:val="12"/>
                <w:szCs w:val="12"/>
                <w:lang w:eastAsia="ru-RU"/>
              </w:rPr>
              <w:t>, использованного при осуществлении регулируемой деятельности, и обоснование причин его отклонения от уровня доходности инвестированного капитала, установленного федеральным органом исполнительной власти по регулированию естественных монополий; - отчет о движении активов, включающий балансовую стоимость активов на начало года, балансовую стоимость активов на конец года, а так же информацию о выбытии активов в течении года; - отчет о вводе активов в течение года, в том числе за счет переоценки, модернизации, реконструкции, строительства и приобретения нового оборудования; Информация, указанная в п. 9 б Стандартов, должна быть раскрыта по форме, утвержденной Приказом ФСТ России от 24.10.2014г. № 1831– э «Об утверждении форм раскрытия информации субъектами рынков электрической энергии и мощности, являющимися субъектами естественных монополий».</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hyperlink r:id="rId41" w:history="1">
              <w:r w:rsidRPr="006615E5">
                <w:rPr>
                  <w:rFonts w:ascii="Arial" w:eastAsia="Times New Roman" w:hAnsi="Arial" w:cs="Arial"/>
                  <w:color w:val="2883D4"/>
                  <w:sz w:val="12"/>
                  <w:szCs w:val="12"/>
                  <w:u w:val="single"/>
                  <w:lang w:eastAsia="ru-RU"/>
                </w:rPr>
                <w:t>ссылка</w:t>
              </w:r>
            </w:hyperlink>
          </w:p>
        </w:tc>
      </w:tr>
      <w:tr w:rsidR="006615E5" w:rsidRPr="006615E5" w:rsidTr="006615E5">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л</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w:t>
            </w: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11л) о качестве обслуживания потребителей услуг сетевой организации; Приложение № 7 Приказа Минэнерго РФ от 15.04.2014 № 186 "О единых стандартах качества обслуживания сетевыми организациями потребителей услуг сетевых организаций".</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hyperlink r:id="rId42" w:history="1">
              <w:r w:rsidRPr="006615E5">
                <w:rPr>
                  <w:rFonts w:ascii="Arial" w:eastAsia="Times New Roman" w:hAnsi="Arial" w:cs="Arial"/>
                  <w:color w:val="2883D4"/>
                  <w:sz w:val="12"/>
                  <w:szCs w:val="12"/>
                  <w:u w:val="single"/>
                  <w:lang w:eastAsia="ru-RU"/>
                </w:rPr>
                <w:t>ссылка</w:t>
              </w:r>
            </w:hyperlink>
          </w:p>
        </w:tc>
      </w:tr>
      <w:tr w:rsidR="006615E5" w:rsidRPr="006615E5" w:rsidTr="006615E5">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9</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а</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xml:space="preserve">ежегодно (за предыдущий период регулирования)Субъекты рынков электрической энергии, отнесенные к числу субъектов электроэнергетики, инвестиционные программы которых утверждаются федеральным органом исполнительной власти и (или) органами исполнительной власти субъектов Российской Федерации, раскрывают информацию на официальном сайте в сети "Интернет", определяемом Правительством Российской Федерации для раскрытия информации об инвестиционных программах указанных субъектов электроэнергетики, </w:t>
            </w:r>
            <w:proofErr w:type="spellStart"/>
            <w:r w:rsidRPr="006615E5">
              <w:rPr>
                <w:rFonts w:ascii="Arial" w:eastAsia="Times New Roman" w:hAnsi="Arial" w:cs="Arial"/>
                <w:color w:val="222222"/>
                <w:sz w:val="12"/>
                <w:szCs w:val="12"/>
                <w:lang w:eastAsia="ru-RU"/>
              </w:rPr>
              <w:t>ежегодно,не</w:t>
            </w:r>
            <w:proofErr w:type="spellEnd"/>
            <w:r w:rsidRPr="006615E5">
              <w:rPr>
                <w:rFonts w:ascii="Arial" w:eastAsia="Times New Roman" w:hAnsi="Arial" w:cs="Arial"/>
                <w:color w:val="222222"/>
                <w:sz w:val="12"/>
                <w:szCs w:val="12"/>
                <w:lang w:eastAsia="ru-RU"/>
              </w:rPr>
              <w:t xml:space="preserve"> позднее 1апреля.</w:t>
            </w:r>
          </w:p>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Субъекты рынков электрической энергии, за исключением субъектов рынков электрической энергии, указанных в абзаце первом настоящего пункта, раскрывают информацию, указанную в подпункте "а" пункта 9 настоящего документа, в электронных средствах массовой информации, на официальных сайтах субъектов рынков электрической энергии или на ином официальном сайте в сети "Интернет", определяемом Правительством Российской Федерации, и (или) в официальном печатном издании ежегодно, не позднее 1 июня.</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xml:space="preserve">9а) годовая финансовая (бухгалтерская) отчетность, а </w:t>
            </w:r>
            <w:proofErr w:type="gramStart"/>
            <w:r w:rsidRPr="006615E5">
              <w:rPr>
                <w:rFonts w:ascii="Arial" w:eastAsia="Times New Roman" w:hAnsi="Arial" w:cs="Arial"/>
                <w:color w:val="222222"/>
                <w:sz w:val="12"/>
                <w:szCs w:val="12"/>
                <w:lang w:eastAsia="ru-RU"/>
              </w:rPr>
              <w:t>так же</w:t>
            </w:r>
            <w:proofErr w:type="gramEnd"/>
            <w:r w:rsidRPr="006615E5">
              <w:rPr>
                <w:rFonts w:ascii="Arial" w:eastAsia="Times New Roman" w:hAnsi="Arial" w:cs="Arial"/>
                <w:color w:val="222222"/>
                <w:sz w:val="12"/>
                <w:szCs w:val="12"/>
                <w:lang w:eastAsia="ru-RU"/>
              </w:rPr>
              <w:t xml:space="preserve"> аудиторское заключение (в случае, если в соответствием с законодательством РФ осуществлялась аудиторская проверка);</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hyperlink r:id="rId43" w:history="1">
              <w:r w:rsidRPr="006615E5">
                <w:rPr>
                  <w:rFonts w:ascii="Arial" w:eastAsia="Times New Roman" w:hAnsi="Arial" w:cs="Arial"/>
                  <w:color w:val="2883D4"/>
                  <w:sz w:val="12"/>
                  <w:szCs w:val="12"/>
                  <w:u w:val="single"/>
                  <w:lang w:eastAsia="ru-RU"/>
                </w:rPr>
                <w:t>ссылка</w:t>
              </w:r>
            </w:hyperlink>
          </w:p>
        </w:tc>
      </w:tr>
      <w:tr w:rsidR="006615E5" w:rsidRPr="006615E5" w:rsidTr="006615E5">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9</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г</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xml:space="preserve">За 10 </w:t>
            </w:r>
            <w:proofErr w:type="spellStart"/>
            <w:r w:rsidRPr="006615E5">
              <w:rPr>
                <w:rFonts w:ascii="Arial" w:eastAsia="Times New Roman" w:hAnsi="Arial" w:cs="Arial"/>
                <w:color w:val="222222"/>
                <w:sz w:val="12"/>
                <w:szCs w:val="12"/>
                <w:lang w:eastAsia="ru-RU"/>
              </w:rPr>
              <w:t>днейдо</w:t>
            </w:r>
            <w:proofErr w:type="spellEnd"/>
            <w:r w:rsidRPr="006615E5">
              <w:rPr>
                <w:rFonts w:ascii="Arial" w:eastAsia="Times New Roman" w:hAnsi="Arial" w:cs="Arial"/>
                <w:color w:val="222222"/>
                <w:sz w:val="12"/>
                <w:szCs w:val="12"/>
                <w:lang w:eastAsia="ru-RU"/>
              </w:rPr>
              <w:t xml:space="preserve"> предоставления в Министерство тарифного регулирования и энергетики предложения об установлении тарифов или их предельных уровней</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xml:space="preserve">9г) предложение о размере цен (тарифов), долгосрочных параметров регулирования (при применении метода доходности инвестированного капитала или метода долгосрочной необходимой валовой выручки), подлежащих регулированию в соответствии с Основами ценообразования в области регулируемых цен (тарифов) в электроэнергетике, утвержденными постановлением Правительства Российской Федерации от 29 декабря2011 г. N 1178; Информация, указанная в п.9 </w:t>
            </w:r>
            <w:proofErr w:type="spellStart"/>
            <w:r w:rsidRPr="006615E5">
              <w:rPr>
                <w:rFonts w:ascii="Arial" w:eastAsia="Times New Roman" w:hAnsi="Arial" w:cs="Arial"/>
                <w:color w:val="222222"/>
                <w:sz w:val="12"/>
                <w:szCs w:val="12"/>
                <w:lang w:eastAsia="ru-RU"/>
              </w:rPr>
              <w:t>гСтандартов</w:t>
            </w:r>
            <w:proofErr w:type="spellEnd"/>
            <w:r w:rsidRPr="006615E5">
              <w:rPr>
                <w:rFonts w:ascii="Arial" w:eastAsia="Times New Roman" w:hAnsi="Arial" w:cs="Arial"/>
                <w:color w:val="222222"/>
                <w:sz w:val="12"/>
                <w:szCs w:val="12"/>
                <w:lang w:eastAsia="ru-RU"/>
              </w:rPr>
              <w:t>, должна быть раскрыта по форме Приложения № 1 к Стандартам, утвержденной Приказом Правительства Российской Федерации от 09.08.2014 г. № 787 " О внесении изменений в некоторые акты Правительства Российской Федерации"</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hyperlink r:id="rId44" w:history="1">
              <w:r w:rsidRPr="006615E5">
                <w:rPr>
                  <w:rFonts w:ascii="Arial" w:eastAsia="Times New Roman" w:hAnsi="Arial" w:cs="Arial"/>
                  <w:color w:val="2883D4"/>
                  <w:sz w:val="12"/>
                  <w:szCs w:val="12"/>
                  <w:u w:val="single"/>
                  <w:lang w:eastAsia="ru-RU"/>
                </w:rPr>
                <w:t>ссылка</w:t>
              </w:r>
            </w:hyperlink>
          </w:p>
        </w:tc>
      </w:tr>
      <w:tr w:rsidR="006615E5" w:rsidRPr="006615E5" w:rsidTr="006615E5">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а(2)</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За 10 дней до предоставления в Министерство тарифного регулирования и энергетики прогнозных сведений о расходах за технологическое присоединение на очередной календарный год.</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 а(2)) о прогнозных сведениях о расходах за технологическое присоединение на очередной календарный год - для территориальных сетевых организаций:</w:t>
            </w:r>
            <w:r w:rsidRPr="006615E5">
              <w:rPr>
                <w:rFonts w:ascii="Arial" w:eastAsia="Times New Roman" w:hAnsi="Arial" w:cs="Arial"/>
                <w:color w:val="222222"/>
                <w:sz w:val="12"/>
                <w:szCs w:val="12"/>
                <w:lang w:eastAsia="ru-RU"/>
              </w:rPr>
              <w:br/>
              <w:t>Территориальные сетевые организации раскрывают:</w:t>
            </w:r>
            <w:r w:rsidRPr="006615E5">
              <w:rPr>
                <w:rFonts w:ascii="Arial" w:eastAsia="Times New Roman" w:hAnsi="Arial" w:cs="Arial"/>
                <w:color w:val="222222"/>
                <w:sz w:val="12"/>
                <w:szCs w:val="12"/>
                <w:lang w:eastAsia="ru-RU"/>
              </w:rPr>
              <w:br/>
            </w:r>
            <w:r w:rsidRPr="006615E5">
              <w:rPr>
                <w:rFonts w:ascii="Arial" w:eastAsia="Times New Roman" w:hAnsi="Arial" w:cs="Arial"/>
                <w:color w:val="222222"/>
                <w:sz w:val="12"/>
                <w:szCs w:val="12"/>
                <w:lang w:eastAsia="ru-RU"/>
              </w:rPr>
              <w:lastRenderedPageBreak/>
              <w:t>информацию о прогнозных сведениях о расходах за технологическое присоединение, указанную в подпункте "а(2)" пункта 11 настоящего документа, по форме согласно приложению N 2;</w:t>
            </w:r>
            <w:r w:rsidRPr="006615E5">
              <w:rPr>
                <w:rFonts w:ascii="Arial" w:eastAsia="Times New Roman" w:hAnsi="Arial" w:cs="Arial"/>
                <w:color w:val="222222"/>
                <w:sz w:val="12"/>
                <w:szCs w:val="12"/>
                <w:lang w:eastAsia="ru-RU"/>
              </w:rPr>
              <w:br/>
              <w:t xml:space="preserve">информацию о стандартизированных тарифных ставках для расчета платы за технологическое присоединение к территориальным распределительным сетям на уровне напряжения ниже 35 </w:t>
            </w:r>
            <w:proofErr w:type="spellStart"/>
            <w:r w:rsidRPr="006615E5">
              <w:rPr>
                <w:rFonts w:ascii="Arial" w:eastAsia="Times New Roman" w:hAnsi="Arial" w:cs="Arial"/>
                <w:color w:val="222222"/>
                <w:sz w:val="12"/>
                <w:szCs w:val="12"/>
                <w:lang w:eastAsia="ru-RU"/>
              </w:rPr>
              <w:t>кВ</w:t>
            </w:r>
            <w:proofErr w:type="spellEnd"/>
            <w:r w:rsidRPr="006615E5">
              <w:rPr>
                <w:rFonts w:ascii="Arial" w:eastAsia="Times New Roman" w:hAnsi="Arial" w:cs="Arial"/>
                <w:color w:val="222222"/>
                <w:sz w:val="12"/>
                <w:szCs w:val="12"/>
                <w:lang w:eastAsia="ru-RU"/>
              </w:rPr>
              <w:t xml:space="preserve"> и присоединяемой мощностью менее 8900 кВт по форме согласно приложению N 3;</w:t>
            </w:r>
            <w:r w:rsidRPr="006615E5">
              <w:rPr>
                <w:rFonts w:ascii="Arial" w:eastAsia="Times New Roman" w:hAnsi="Arial" w:cs="Arial"/>
                <w:color w:val="222222"/>
                <w:sz w:val="12"/>
                <w:szCs w:val="12"/>
                <w:lang w:eastAsia="ru-RU"/>
              </w:rPr>
              <w:br/>
              <w:t>информацию о расходах на мероприятия, осуществляемые при технологическом присоединении, по форме согласно приложению N 4;</w:t>
            </w:r>
            <w:r w:rsidRPr="006615E5">
              <w:rPr>
                <w:rFonts w:ascii="Arial" w:eastAsia="Times New Roman" w:hAnsi="Arial" w:cs="Arial"/>
                <w:color w:val="222222"/>
                <w:sz w:val="12"/>
                <w:szCs w:val="12"/>
                <w:lang w:eastAsia="ru-RU"/>
              </w:rPr>
              <w:br/>
              <w:t>информацию о расчете необходимой валовой выручки сетевой организации на технологическое присоединение по форме согласно приложению N 5;</w:t>
            </w:r>
            <w:r w:rsidRPr="006615E5">
              <w:rPr>
                <w:rFonts w:ascii="Arial" w:eastAsia="Times New Roman" w:hAnsi="Arial" w:cs="Arial"/>
                <w:color w:val="222222"/>
                <w:sz w:val="12"/>
                <w:szCs w:val="12"/>
                <w:lang w:eastAsia="ru-RU"/>
              </w:rPr>
              <w:br/>
              <w:t>информацию о фактических средних данных о присоединенных объемах максимальной мощности за 3 предыдущих года по каждому мероприятию по форме согласно приложению N 6;</w:t>
            </w:r>
            <w:r w:rsidRPr="006615E5">
              <w:rPr>
                <w:rFonts w:ascii="Arial" w:eastAsia="Times New Roman" w:hAnsi="Arial" w:cs="Arial"/>
                <w:color w:val="222222"/>
                <w:sz w:val="12"/>
                <w:szCs w:val="12"/>
                <w:lang w:eastAsia="ru-RU"/>
              </w:rPr>
              <w:br/>
              <w:t>информацию о фактических средних данных о длине линий электропередачи и об объемах максимальной мощности построенных объектов за 3 предыдущих года по каждому мероприятию по форме согласно приложению N 7;</w:t>
            </w:r>
            <w:r w:rsidRPr="006615E5">
              <w:rPr>
                <w:rFonts w:ascii="Arial" w:eastAsia="Times New Roman" w:hAnsi="Arial" w:cs="Arial"/>
                <w:color w:val="222222"/>
                <w:sz w:val="12"/>
                <w:szCs w:val="12"/>
                <w:lang w:eastAsia="ru-RU"/>
              </w:rPr>
              <w:br/>
              <w:t>информацию об осуществлении технологического присоединения по договорам, заключенным за текущий год, по форме согласно приложению N 8;</w:t>
            </w:r>
            <w:r w:rsidRPr="006615E5">
              <w:rPr>
                <w:rFonts w:ascii="Arial" w:eastAsia="Times New Roman" w:hAnsi="Arial" w:cs="Arial"/>
                <w:color w:val="222222"/>
                <w:sz w:val="12"/>
                <w:szCs w:val="12"/>
                <w:lang w:eastAsia="ru-RU"/>
              </w:rPr>
              <w:br/>
              <w:t>информацию о поданных заявках на технологическое присоединение за текущий год по форме согласно приложению N 9.".</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hyperlink r:id="rId45" w:history="1">
              <w:r w:rsidRPr="006615E5">
                <w:rPr>
                  <w:rFonts w:ascii="Arial" w:eastAsia="Times New Roman" w:hAnsi="Arial" w:cs="Arial"/>
                  <w:color w:val="2883D4"/>
                  <w:sz w:val="12"/>
                  <w:szCs w:val="12"/>
                  <w:u w:val="single"/>
                  <w:lang w:eastAsia="ru-RU"/>
                </w:rPr>
                <w:t>ссылка</w:t>
              </w:r>
            </w:hyperlink>
          </w:p>
        </w:tc>
      </w:tr>
      <w:tr w:rsidR="006615E5" w:rsidRPr="006615E5" w:rsidTr="006615E5">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г</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2 раза в год, в конце каждого полугодия текущего года</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11г) о результатах контрольных замеров электрических параметров режимов работы оборудования объектов электросетевого хозяйства</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hyperlink r:id="rId46" w:history="1">
              <w:r w:rsidRPr="006615E5">
                <w:rPr>
                  <w:rFonts w:ascii="Arial" w:eastAsia="Times New Roman" w:hAnsi="Arial" w:cs="Arial"/>
                  <w:color w:val="2883D4"/>
                  <w:sz w:val="12"/>
                  <w:szCs w:val="12"/>
                  <w:u w:val="single"/>
                  <w:lang w:eastAsia="ru-RU"/>
                </w:rPr>
                <w:t>ссылка</w:t>
              </w:r>
            </w:hyperlink>
          </w:p>
        </w:tc>
      </w:tr>
      <w:tr w:rsidR="006615E5" w:rsidRPr="006615E5" w:rsidTr="006615E5">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в</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w:t>
            </w:r>
          </w:p>
        </w:tc>
        <w:tc>
          <w:tcPr>
            <w:tcW w:w="0" w:type="auto"/>
            <w:vMerge w:val="restart"/>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Ежемесячно</w:t>
            </w:r>
          </w:p>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(и по мере обновления информации)</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xml:space="preserve">В отношении трансформаторных подстанций 35 </w:t>
            </w:r>
            <w:proofErr w:type="spellStart"/>
            <w:r w:rsidRPr="006615E5">
              <w:rPr>
                <w:rFonts w:ascii="Arial" w:eastAsia="Times New Roman" w:hAnsi="Arial" w:cs="Arial"/>
                <w:color w:val="222222"/>
                <w:sz w:val="12"/>
                <w:szCs w:val="12"/>
                <w:lang w:eastAsia="ru-RU"/>
              </w:rPr>
              <w:t>кВ</w:t>
            </w:r>
            <w:proofErr w:type="spellEnd"/>
            <w:r w:rsidRPr="006615E5">
              <w:rPr>
                <w:rFonts w:ascii="Arial" w:eastAsia="Times New Roman" w:hAnsi="Arial" w:cs="Arial"/>
                <w:color w:val="222222"/>
                <w:sz w:val="12"/>
                <w:szCs w:val="12"/>
                <w:lang w:eastAsia="ru-RU"/>
              </w:rPr>
              <w:t xml:space="preserve"> и выше:</w:t>
            </w:r>
            <w:r w:rsidRPr="006615E5">
              <w:rPr>
                <w:rFonts w:ascii="Arial" w:eastAsia="Times New Roman" w:hAnsi="Arial" w:cs="Arial"/>
                <w:color w:val="222222"/>
                <w:sz w:val="12"/>
                <w:szCs w:val="12"/>
                <w:lang w:eastAsia="ru-RU"/>
              </w:rPr>
              <w:br/>
              <w:t>11в) о наличии (об отсутствии) технической возможности доступа к регулируемым товарам (работам, услугам) субъектам естественных монополий и о регистрации и ходе реализации заявок на технологическое присоединение к электрическим сетям, включая информацию, содержащую сводные данные в разрезе субъектов РФ о поданных заявках на технологическое присоединение к эл/сетям и заключенных договорах об осуществлении технологического присоединения к эл/сетям по сетевой компании с указанием количества:</w:t>
            </w:r>
            <w:r w:rsidRPr="006615E5">
              <w:rPr>
                <w:rFonts w:ascii="Arial" w:eastAsia="Times New Roman" w:hAnsi="Arial" w:cs="Arial"/>
                <w:color w:val="222222"/>
                <w:sz w:val="12"/>
                <w:szCs w:val="12"/>
                <w:lang w:eastAsia="ru-RU"/>
              </w:rPr>
              <w:br/>
              <w:t>- поданных заявок и объема мощности, необходимого для их удовлетворения;</w:t>
            </w:r>
            <w:r w:rsidRPr="006615E5">
              <w:rPr>
                <w:rFonts w:ascii="Arial" w:eastAsia="Times New Roman" w:hAnsi="Arial" w:cs="Arial"/>
                <w:color w:val="222222"/>
                <w:sz w:val="12"/>
                <w:szCs w:val="12"/>
                <w:lang w:eastAsia="ru-RU"/>
              </w:rPr>
              <w:br/>
              <w:t>- заключенных договоров об осуществлении технологического присоединения к эл/сетям, содержащих сведения об объеме присоединяемой мощности, сроке и плате по каждому договору;</w:t>
            </w:r>
            <w:r w:rsidRPr="006615E5">
              <w:rPr>
                <w:rFonts w:ascii="Arial" w:eastAsia="Times New Roman" w:hAnsi="Arial" w:cs="Arial"/>
                <w:color w:val="222222"/>
                <w:sz w:val="12"/>
                <w:szCs w:val="12"/>
                <w:lang w:eastAsia="ru-RU"/>
              </w:rPr>
              <w:br/>
              <w:t>- аннулированных заявок на технологическое присоединение;</w:t>
            </w:r>
            <w:r w:rsidRPr="006615E5">
              <w:rPr>
                <w:rFonts w:ascii="Arial" w:eastAsia="Times New Roman" w:hAnsi="Arial" w:cs="Arial"/>
                <w:color w:val="222222"/>
                <w:sz w:val="12"/>
                <w:szCs w:val="12"/>
                <w:lang w:eastAsia="ru-RU"/>
              </w:rPr>
              <w:br/>
              <w:t>- выполненных присоединений и присоединенной мощности;</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запросы не поступали</w:t>
            </w:r>
          </w:p>
        </w:tc>
      </w:tr>
      <w:tr w:rsidR="006615E5" w:rsidRPr="006615E5" w:rsidTr="006615E5">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б</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18</w:t>
            </w: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11б.18) о вводе в ремонт и выводе из ремонта электросетевых объектов с указанием сроков (сводная информация);</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hyperlink r:id="rId47" w:history="1">
              <w:r w:rsidRPr="006615E5">
                <w:rPr>
                  <w:rFonts w:ascii="Arial" w:eastAsia="Times New Roman" w:hAnsi="Arial" w:cs="Arial"/>
                  <w:color w:val="2883D4"/>
                  <w:sz w:val="12"/>
                  <w:szCs w:val="12"/>
                  <w:u w:val="single"/>
                  <w:lang w:eastAsia="ru-RU"/>
                </w:rPr>
                <w:t>ссылка</w:t>
              </w:r>
            </w:hyperlink>
          </w:p>
        </w:tc>
      </w:tr>
      <w:tr w:rsidR="006615E5" w:rsidRPr="006615E5" w:rsidTr="006615E5">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м</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w:t>
            </w: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 м.) об объеме и стоимости электрической энергии (мощности) за расчетный период, приобретенной по каждому договору купли-продажи (поставки) электрической энергии (мощности) в целях компенсации потерь электрической энергии, заключенному с производителем электрической энергии (мощности) на розничном рынке электрической энергии, осуществляющим производство электрической энергии (мощности) на квалифицированных генерирующих объектах, функционирующих на основе использования возобновляемых источников энергии, объемы которой подтверждены сертификатом, выданным советом рынка, с указанием наименования такого производителя</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hyperlink r:id="rId48" w:history="1">
              <w:r w:rsidRPr="006615E5">
                <w:rPr>
                  <w:rFonts w:ascii="Arial" w:eastAsia="Times New Roman" w:hAnsi="Arial" w:cs="Arial"/>
                  <w:color w:val="2883D4"/>
                  <w:sz w:val="12"/>
                  <w:szCs w:val="12"/>
                  <w:u w:val="single"/>
                  <w:lang w:eastAsia="ru-RU"/>
                </w:rPr>
                <w:t>ссылка</w:t>
              </w:r>
            </w:hyperlink>
          </w:p>
        </w:tc>
      </w:tr>
      <w:tr w:rsidR="006615E5" w:rsidRPr="006615E5" w:rsidTr="006615E5">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в(1)</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w:t>
            </w:r>
          </w:p>
        </w:tc>
        <w:tc>
          <w:tcPr>
            <w:tcW w:w="0" w:type="auto"/>
            <w:vMerge w:val="restart"/>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ежеквартально</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11в(1)) о величине резервируемой максимальной мощности, определяемой в соответствии с Правилами недискриминационного доступа к услугам по передаче электрической энергии и оказания этих услуг, утвержденными постановлением Правительства Российской Федерации от 27 декабря2004 г. N 861, в разбивке по уровням напряжения;</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hyperlink r:id="rId49" w:history="1">
              <w:r w:rsidRPr="006615E5">
                <w:rPr>
                  <w:rFonts w:ascii="Arial" w:eastAsia="Times New Roman" w:hAnsi="Arial" w:cs="Arial"/>
                  <w:color w:val="2883D4"/>
                  <w:sz w:val="12"/>
                  <w:szCs w:val="12"/>
                  <w:u w:val="single"/>
                  <w:lang w:eastAsia="ru-RU"/>
                </w:rPr>
                <w:t>ссылка</w:t>
              </w:r>
            </w:hyperlink>
          </w:p>
        </w:tc>
      </w:tr>
      <w:tr w:rsidR="006615E5" w:rsidRPr="006615E5" w:rsidTr="006615E5">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б</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15</w:t>
            </w: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11б.15) об объеме недопоставленной в результате аварийных отключений электрической энергии;</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hyperlink r:id="rId50" w:history="1">
              <w:r w:rsidRPr="006615E5">
                <w:rPr>
                  <w:rFonts w:ascii="Arial" w:eastAsia="Times New Roman" w:hAnsi="Arial" w:cs="Arial"/>
                  <w:color w:val="2883D4"/>
                  <w:sz w:val="12"/>
                  <w:szCs w:val="12"/>
                  <w:u w:val="single"/>
                  <w:lang w:eastAsia="ru-RU"/>
                </w:rPr>
                <w:t>ссылка</w:t>
              </w:r>
            </w:hyperlink>
          </w:p>
        </w:tc>
      </w:tr>
      <w:tr w:rsidR="006615E5" w:rsidRPr="006615E5" w:rsidTr="006615E5">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б</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16</w:t>
            </w: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xml:space="preserve">11б.16) о наличии объема свободной для технологического присоединения потребителей трансформаторной мощности с указанием текущего объема свободной мощности по центрам питания напряжением 35 </w:t>
            </w:r>
            <w:proofErr w:type="spellStart"/>
            <w:r w:rsidRPr="006615E5">
              <w:rPr>
                <w:rFonts w:ascii="Arial" w:eastAsia="Times New Roman" w:hAnsi="Arial" w:cs="Arial"/>
                <w:color w:val="222222"/>
                <w:sz w:val="12"/>
                <w:szCs w:val="12"/>
                <w:lang w:eastAsia="ru-RU"/>
              </w:rPr>
              <w:t>кВ</w:t>
            </w:r>
            <w:proofErr w:type="spellEnd"/>
            <w:r w:rsidRPr="006615E5">
              <w:rPr>
                <w:rFonts w:ascii="Arial" w:eastAsia="Times New Roman" w:hAnsi="Arial" w:cs="Arial"/>
                <w:color w:val="222222"/>
                <w:sz w:val="12"/>
                <w:szCs w:val="12"/>
                <w:lang w:eastAsia="ru-RU"/>
              </w:rPr>
              <w:t xml:space="preserve"> и выше;</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hyperlink r:id="rId51" w:history="1">
              <w:r w:rsidRPr="006615E5">
                <w:rPr>
                  <w:rFonts w:ascii="Arial" w:eastAsia="Times New Roman" w:hAnsi="Arial" w:cs="Arial"/>
                  <w:color w:val="2883D4"/>
                  <w:sz w:val="12"/>
                  <w:szCs w:val="12"/>
                  <w:u w:val="single"/>
                  <w:lang w:eastAsia="ru-RU"/>
                </w:rPr>
                <w:t>ссылка</w:t>
              </w:r>
            </w:hyperlink>
          </w:p>
        </w:tc>
      </w:tr>
      <w:tr w:rsidR="006615E5" w:rsidRPr="006615E5" w:rsidTr="006615E5">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б</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17</w:t>
            </w:r>
          </w:p>
        </w:tc>
        <w:tc>
          <w:tcPr>
            <w:tcW w:w="0" w:type="auto"/>
            <w:vMerge/>
            <w:shd w:val="clear" w:color="auto" w:fill="FFFFFF"/>
            <w:vAlign w:val="cente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xml:space="preserve">11б.17) о наличии объема свободной для технологического присоединения потребителей трансформаторной мощности по подстанциям и распределительным пунктам напряжением ниже 35 </w:t>
            </w:r>
            <w:proofErr w:type="spellStart"/>
            <w:r w:rsidRPr="006615E5">
              <w:rPr>
                <w:rFonts w:ascii="Arial" w:eastAsia="Times New Roman" w:hAnsi="Arial" w:cs="Arial"/>
                <w:color w:val="222222"/>
                <w:sz w:val="12"/>
                <w:szCs w:val="12"/>
                <w:lang w:eastAsia="ru-RU"/>
              </w:rPr>
              <w:t>кВ</w:t>
            </w:r>
            <w:proofErr w:type="spellEnd"/>
            <w:r w:rsidRPr="006615E5">
              <w:rPr>
                <w:rFonts w:ascii="Arial" w:eastAsia="Times New Roman" w:hAnsi="Arial" w:cs="Arial"/>
                <w:color w:val="222222"/>
                <w:sz w:val="12"/>
                <w:szCs w:val="12"/>
                <w:lang w:eastAsia="ru-RU"/>
              </w:rPr>
              <w:t xml:space="preserve"> с дифференциацией по всем уровням напряжения;</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запросы не поступали</w:t>
            </w:r>
          </w:p>
        </w:tc>
      </w:tr>
      <w:tr w:rsidR="006615E5" w:rsidRPr="006615E5" w:rsidTr="006615E5">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е</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в течение 5 рабочих дней со дня изменений</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11е) о порядке выполнения технологических, технических и других мероприятий, связанных с технологическим присоединением к электрическим сетям, включая перечень мероприятий, необходимых для осуществления технологического присоединения к электрическим сетям, и порядок выполнения этих мероприятий с указанием ссылок на нормативные правовые акты;</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hyperlink r:id="rId52" w:history="1">
              <w:r w:rsidRPr="006615E5">
                <w:rPr>
                  <w:rFonts w:ascii="Arial" w:eastAsia="Times New Roman" w:hAnsi="Arial" w:cs="Arial"/>
                  <w:color w:val="2883D4"/>
                  <w:sz w:val="12"/>
                  <w:szCs w:val="12"/>
                  <w:u w:val="single"/>
                  <w:lang w:eastAsia="ru-RU"/>
                </w:rPr>
                <w:t>ссылка</w:t>
              </w:r>
            </w:hyperlink>
          </w:p>
        </w:tc>
      </w:tr>
      <w:tr w:rsidR="006615E5" w:rsidRPr="006615E5" w:rsidTr="006615E5">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д</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в течение 7 дней со дня поступления письменного запроса</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xml:space="preserve">В отношении подстанций и распределительных пунктов напряжением ниже 35 </w:t>
            </w:r>
            <w:proofErr w:type="spellStart"/>
            <w:r w:rsidRPr="006615E5">
              <w:rPr>
                <w:rFonts w:ascii="Arial" w:eastAsia="Times New Roman" w:hAnsi="Arial" w:cs="Arial"/>
                <w:color w:val="222222"/>
                <w:sz w:val="12"/>
                <w:szCs w:val="12"/>
                <w:lang w:eastAsia="ru-RU"/>
              </w:rPr>
              <w:t>кВ</w:t>
            </w:r>
            <w:proofErr w:type="spellEnd"/>
            <w:r w:rsidRPr="006615E5">
              <w:rPr>
                <w:rFonts w:ascii="Arial" w:eastAsia="Times New Roman" w:hAnsi="Arial" w:cs="Arial"/>
                <w:color w:val="222222"/>
                <w:sz w:val="12"/>
                <w:szCs w:val="12"/>
                <w:lang w:eastAsia="ru-RU"/>
              </w:rPr>
              <w:t>:</w:t>
            </w:r>
          </w:p>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11д) об условиях, на которых осуществляется поставка регулируемых товаров (работ, услуг) субъектами естественных монополий, и (или) об условиях договоров об осуществлении технологического присоединения к электрическим сетям с указанием типовых форм договоров об оказании услуг по передаче электрической энергии, типовых договоров об осуществлении технологического присоединения к электрическим сетям и источника официального опубликования нормативного правового акта, регулирующего условия этих договоров;</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hyperlink r:id="rId53" w:history="1">
              <w:r w:rsidRPr="006615E5">
                <w:rPr>
                  <w:rFonts w:ascii="Arial" w:eastAsia="Times New Roman" w:hAnsi="Arial" w:cs="Arial"/>
                  <w:color w:val="2883D4"/>
                  <w:sz w:val="12"/>
                  <w:szCs w:val="12"/>
                  <w:u w:val="single"/>
                  <w:lang w:eastAsia="ru-RU"/>
                </w:rPr>
                <w:t>ссылка</w:t>
              </w:r>
            </w:hyperlink>
          </w:p>
        </w:tc>
      </w:tr>
      <w:tr w:rsidR="006615E5" w:rsidRPr="006615E5" w:rsidTr="006615E5">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в</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в течение 7 дней со дня поступления письменного запроса</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xml:space="preserve">В отношении подстанций и распределительных пунктов напряжением ниже 35 </w:t>
            </w:r>
            <w:proofErr w:type="spellStart"/>
            <w:r w:rsidRPr="006615E5">
              <w:rPr>
                <w:rFonts w:ascii="Arial" w:eastAsia="Times New Roman" w:hAnsi="Arial" w:cs="Arial"/>
                <w:color w:val="222222"/>
                <w:sz w:val="12"/>
                <w:szCs w:val="12"/>
                <w:lang w:eastAsia="ru-RU"/>
              </w:rPr>
              <w:t>кВ</w:t>
            </w:r>
            <w:proofErr w:type="spellEnd"/>
            <w:r w:rsidRPr="006615E5">
              <w:rPr>
                <w:rFonts w:ascii="Arial" w:eastAsia="Times New Roman" w:hAnsi="Arial" w:cs="Arial"/>
                <w:color w:val="222222"/>
                <w:sz w:val="12"/>
                <w:szCs w:val="12"/>
                <w:lang w:eastAsia="ru-RU"/>
              </w:rPr>
              <w:t>:</w:t>
            </w:r>
            <w:r w:rsidRPr="006615E5">
              <w:rPr>
                <w:rFonts w:ascii="Arial" w:eastAsia="Times New Roman" w:hAnsi="Arial" w:cs="Arial"/>
                <w:color w:val="222222"/>
                <w:sz w:val="12"/>
                <w:szCs w:val="12"/>
                <w:lang w:eastAsia="ru-RU"/>
              </w:rPr>
              <w:br/>
              <w:t xml:space="preserve">11в) о наличии (об отсутствии) технической возможности доступа к регулируемым товарам (работам, услугам) субъектам естественных монополий и о регистрации и ходе реализации заявок на технологическое присоединение к электрическим сетям, включая информацию, содержащую сводные данные в разрезе субъектов РФ о поданных заявках на технологическое присоединение к эл/сетям и заключенных договорах об осуществлении технологического </w:t>
            </w:r>
            <w:r w:rsidRPr="006615E5">
              <w:rPr>
                <w:rFonts w:ascii="Arial" w:eastAsia="Times New Roman" w:hAnsi="Arial" w:cs="Arial"/>
                <w:color w:val="222222"/>
                <w:sz w:val="12"/>
                <w:szCs w:val="12"/>
                <w:lang w:eastAsia="ru-RU"/>
              </w:rPr>
              <w:lastRenderedPageBreak/>
              <w:t>присоединения к эл/сетям по сетевой компании с указанием количества:</w:t>
            </w:r>
            <w:r w:rsidRPr="006615E5">
              <w:rPr>
                <w:rFonts w:ascii="Arial" w:eastAsia="Times New Roman" w:hAnsi="Arial" w:cs="Arial"/>
                <w:color w:val="222222"/>
                <w:sz w:val="12"/>
                <w:szCs w:val="12"/>
                <w:lang w:eastAsia="ru-RU"/>
              </w:rPr>
              <w:br/>
              <w:t>- поданных заявок и объема мощности, необходимого для их удовлетворения;</w:t>
            </w:r>
            <w:r w:rsidRPr="006615E5">
              <w:rPr>
                <w:rFonts w:ascii="Arial" w:eastAsia="Times New Roman" w:hAnsi="Arial" w:cs="Arial"/>
                <w:color w:val="222222"/>
                <w:sz w:val="12"/>
                <w:szCs w:val="12"/>
                <w:lang w:eastAsia="ru-RU"/>
              </w:rPr>
              <w:br/>
              <w:t>- заключенных договоров об осуществлении технологического присоединения к эл/сетям, содержащих сведения об объеме присоединяемой мощности, сроке и плате по каждому договору;</w:t>
            </w:r>
            <w:r w:rsidRPr="006615E5">
              <w:rPr>
                <w:rFonts w:ascii="Arial" w:eastAsia="Times New Roman" w:hAnsi="Arial" w:cs="Arial"/>
                <w:color w:val="222222"/>
                <w:sz w:val="12"/>
                <w:szCs w:val="12"/>
                <w:lang w:eastAsia="ru-RU"/>
              </w:rPr>
              <w:br/>
              <w:t>- аннулированных заявок на технологическое присоединение;</w:t>
            </w:r>
            <w:r w:rsidRPr="006615E5">
              <w:rPr>
                <w:rFonts w:ascii="Arial" w:eastAsia="Times New Roman" w:hAnsi="Arial" w:cs="Arial"/>
                <w:color w:val="222222"/>
                <w:sz w:val="12"/>
                <w:szCs w:val="12"/>
                <w:lang w:eastAsia="ru-RU"/>
              </w:rPr>
              <w:br/>
              <w:t>- выполненных присоединений и присоединенной мощности;</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hyperlink r:id="rId54" w:history="1">
              <w:r w:rsidRPr="006615E5">
                <w:rPr>
                  <w:rFonts w:ascii="Arial" w:eastAsia="Times New Roman" w:hAnsi="Arial" w:cs="Arial"/>
                  <w:color w:val="2883D4"/>
                  <w:sz w:val="12"/>
                  <w:szCs w:val="12"/>
                  <w:u w:val="single"/>
                  <w:lang w:eastAsia="ru-RU"/>
                </w:rPr>
                <w:t>ссылка</w:t>
              </w:r>
            </w:hyperlink>
          </w:p>
        </w:tc>
      </w:tr>
      <w:tr w:rsidR="006615E5" w:rsidRPr="006615E5" w:rsidTr="006615E5">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а(1)</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в течение 5 рабочих дней со дня поступления в сетевую организацию решения регулирующего органа об установлении тарифов</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proofErr w:type="gramStart"/>
            <w:r w:rsidRPr="006615E5">
              <w:rPr>
                <w:rFonts w:ascii="Arial" w:eastAsia="Times New Roman" w:hAnsi="Arial" w:cs="Arial"/>
                <w:color w:val="222222"/>
                <w:sz w:val="12"/>
                <w:szCs w:val="12"/>
                <w:lang w:eastAsia="ru-RU"/>
              </w:rPr>
              <w:t>11</w:t>
            </w:r>
            <w:proofErr w:type="gramEnd"/>
            <w:r w:rsidRPr="006615E5">
              <w:rPr>
                <w:rFonts w:ascii="Arial" w:eastAsia="Times New Roman" w:hAnsi="Arial" w:cs="Arial"/>
                <w:color w:val="222222"/>
                <w:sz w:val="12"/>
                <w:szCs w:val="12"/>
                <w:lang w:eastAsia="ru-RU"/>
              </w:rPr>
              <w:t xml:space="preserve"> а (1) о расходах, связанных с осуществлением технологического присоединения, не включаемых в плату за технологическое присоединение (и подлежащих учету (учтенных) в тарифах на услуги по передаче электрической энергии), с указанием источника официального опубликования решения регулирующего органа об установлении тарифов, содержащего информацию о размере таких расходов</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hyperlink r:id="rId55" w:history="1">
              <w:r w:rsidRPr="006615E5">
                <w:rPr>
                  <w:rFonts w:ascii="Arial" w:eastAsia="Times New Roman" w:hAnsi="Arial" w:cs="Arial"/>
                  <w:color w:val="2883D4"/>
                  <w:sz w:val="12"/>
                  <w:szCs w:val="12"/>
                  <w:u w:val="single"/>
                  <w:lang w:eastAsia="ru-RU"/>
                </w:rPr>
                <w:t>ссылка</w:t>
              </w:r>
            </w:hyperlink>
          </w:p>
        </w:tc>
      </w:tr>
      <w:tr w:rsidR="006615E5" w:rsidRPr="006615E5" w:rsidTr="006615E5">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е(1)</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в течение 5 рабочих дней со дня изменений</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xml:space="preserve">11е(1)) О возможности подачи заявки на осуществление технологического присоединения </w:t>
            </w:r>
            <w:proofErr w:type="spellStart"/>
            <w:r w:rsidRPr="006615E5">
              <w:rPr>
                <w:rFonts w:ascii="Arial" w:eastAsia="Times New Roman" w:hAnsi="Arial" w:cs="Arial"/>
                <w:color w:val="222222"/>
                <w:sz w:val="12"/>
                <w:szCs w:val="12"/>
                <w:lang w:eastAsia="ru-RU"/>
              </w:rPr>
              <w:t>энергопринимающих</w:t>
            </w:r>
            <w:proofErr w:type="spellEnd"/>
            <w:r w:rsidRPr="006615E5">
              <w:rPr>
                <w:rFonts w:ascii="Arial" w:eastAsia="Times New Roman" w:hAnsi="Arial" w:cs="Arial"/>
                <w:color w:val="222222"/>
                <w:sz w:val="12"/>
                <w:szCs w:val="12"/>
                <w:lang w:eastAsia="ru-RU"/>
              </w:rPr>
              <w:t xml:space="preserve"> устройств заявителя к электрическим сетям (для </w:t>
            </w:r>
            <w:proofErr w:type="spellStart"/>
            <w:r w:rsidRPr="006615E5">
              <w:rPr>
                <w:rFonts w:ascii="Arial" w:eastAsia="Times New Roman" w:hAnsi="Arial" w:cs="Arial"/>
                <w:color w:val="222222"/>
                <w:sz w:val="12"/>
                <w:szCs w:val="12"/>
                <w:lang w:eastAsia="ru-RU"/>
              </w:rPr>
              <w:t>энергопринимающих</w:t>
            </w:r>
            <w:proofErr w:type="spellEnd"/>
            <w:r w:rsidRPr="006615E5">
              <w:rPr>
                <w:rFonts w:ascii="Arial" w:eastAsia="Times New Roman" w:hAnsi="Arial" w:cs="Arial"/>
                <w:color w:val="222222"/>
                <w:sz w:val="12"/>
                <w:szCs w:val="12"/>
                <w:lang w:eastAsia="ru-RU"/>
              </w:rPr>
              <w:t xml:space="preserve"> устройств максимальная мощность которых составляет до 150 кВт, для временного присоединения ЭПУ напряжением до 35 кВт, для присоединения ЭПУ, максимальная мощность которых составляет менее 15 кВт), а </w:t>
            </w:r>
            <w:proofErr w:type="gramStart"/>
            <w:r w:rsidRPr="006615E5">
              <w:rPr>
                <w:rFonts w:ascii="Arial" w:eastAsia="Times New Roman" w:hAnsi="Arial" w:cs="Arial"/>
                <w:color w:val="222222"/>
                <w:sz w:val="12"/>
                <w:szCs w:val="12"/>
                <w:lang w:eastAsia="ru-RU"/>
              </w:rPr>
              <w:t>так же</w:t>
            </w:r>
            <w:proofErr w:type="gramEnd"/>
            <w:r w:rsidRPr="006615E5">
              <w:rPr>
                <w:rFonts w:ascii="Arial" w:eastAsia="Times New Roman" w:hAnsi="Arial" w:cs="Arial"/>
                <w:color w:val="222222"/>
                <w:sz w:val="12"/>
                <w:szCs w:val="12"/>
                <w:lang w:eastAsia="ru-RU"/>
              </w:rPr>
              <w:t xml:space="preserve"> к электрическим сетям классом напряжения до 10 к В.</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hyperlink r:id="rId56" w:history="1">
              <w:r w:rsidRPr="006615E5">
                <w:rPr>
                  <w:rFonts w:ascii="Arial" w:eastAsia="Times New Roman" w:hAnsi="Arial" w:cs="Arial"/>
                  <w:color w:val="2883D4"/>
                  <w:sz w:val="12"/>
                  <w:szCs w:val="12"/>
                  <w:u w:val="single"/>
                  <w:lang w:eastAsia="ru-RU"/>
                </w:rPr>
                <w:t>ссылка</w:t>
              </w:r>
            </w:hyperlink>
          </w:p>
        </w:tc>
      </w:tr>
      <w:tr w:rsidR="006615E5" w:rsidRPr="006615E5" w:rsidTr="006615E5">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е(2)</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подлежит доведению до сведения заявителей с момента поступления заявки на технологическое присоединение</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11е(2)) об основных этапах обработки заявок юридических и физических лиц и индивидуальных предпринимателей на технологическое присоединение к электрическим сетям, включая информацию о дате поступления заявки, и ее регистрационном номере, о направлении в адрес заявителей подписанного со стороны сетевой организации договора об осуществлении технологического присоединения к электрическим сетям и технических условий, о дате заключения договора, о ходе выполнения сетевой организацией технических условий, о фактическом присоединении и фактическом приеме (подаче)напряжения и мощности на объекты заявителя, а так же информацию о составлении и подписании документов о технологическом присоединении;</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hyperlink r:id="rId57" w:history="1">
              <w:r w:rsidRPr="006615E5">
                <w:rPr>
                  <w:rFonts w:ascii="Arial" w:eastAsia="Times New Roman" w:hAnsi="Arial" w:cs="Arial"/>
                  <w:color w:val="2883D4"/>
                  <w:sz w:val="12"/>
                  <w:szCs w:val="12"/>
                  <w:u w:val="single"/>
                  <w:lang w:eastAsia="ru-RU"/>
                </w:rPr>
                <w:t>ссылка</w:t>
              </w:r>
            </w:hyperlink>
          </w:p>
        </w:tc>
      </w:tr>
      <w:tr w:rsidR="006615E5" w:rsidRPr="006615E5" w:rsidTr="006615E5">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к</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xml:space="preserve">в течение 5 рабочих дней со дня получения заявления от лица, намеревающегося осуществить перераспределение максимальной мощности принадлежащих ему </w:t>
            </w:r>
            <w:proofErr w:type="spellStart"/>
            <w:r w:rsidRPr="006615E5">
              <w:rPr>
                <w:rFonts w:ascii="Arial" w:eastAsia="Times New Roman" w:hAnsi="Arial" w:cs="Arial"/>
                <w:color w:val="222222"/>
                <w:sz w:val="12"/>
                <w:szCs w:val="12"/>
                <w:lang w:eastAsia="ru-RU"/>
              </w:rPr>
              <w:t>энергопринимающих</w:t>
            </w:r>
            <w:proofErr w:type="spellEnd"/>
            <w:r w:rsidRPr="006615E5">
              <w:rPr>
                <w:rFonts w:ascii="Arial" w:eastAsia="Times New Roman" w:hAnsi="Arial" w:cs="Arial"/>
                <w:color w:val="222222"/>
                <w:sz w:val="12"/>
                <w:szCs w:val="12"/>
                <w:lang w:eastAsia="ru-RU"/>
              </w:rPr>
              <w:t xml:space="preserve"> устройств в пользу иных лиц- на сайте. В течении 7 дней с момента получения письменного запроса - письменно.</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xml:space="preserve">11к) о лицах, </w:t>
            </w:r>
            <w:proofErr w:type="spellStart"/>
            <w:r w:rsidRPr="006615E5">
              <w:rPr>
                <w:rFonts w:ascii="Arial" w:eastAsia="Times New Roman" w:hAnsi="Arial" w:cs="Arial"/>
                <w:color w:val="222222"/>
                <w:sz w:val="12"/>
                <w:szCs w:val="12"/>
                <w:lang w:eastAsia="ru-RU"/>
              </w:rPr>
              <w:t>намеревающих</w:t>
            </w:r>
            <w:proofErr w:type="spellEnd"/>
            <w:r w:rsidRPr="006615E5">
              <w:rPr>
                <w:rFonts w:ascii="Arial" w:eastAsia="Times New Roman" w:hAnsi="Arial" w:cs="Arial"/>
                <w:color w:val="222222"/>
                <w:sz w:val="12"/>
                <w:szCs w:val="12"/>
                <w:lang w:eastAsia="ru-RU"/>
              </w:rPr>
              <w:t xml:space="preserve"> перераспределить максимальную мощность принадлежащих им </w:t>
            </w:r>
            <w:proofErr w:type="spellStart"/>
            <w:r w:rsidRPr="006615E5">
              <w:rPr>
                <w:rFonts w:ascii="Arial" w:eastAsia="Times New Roman" w:hAnsi="Arial" w:cs="Arial"/>
                <w:color w:val="222222"/>
                <w:sz w:val="12"/>
                <w:szCs w:val="12"/>
                <w:lang w:eastAsia="ru-RU"/>
              </w:rPr>
              <w:t>энергопринимающих</w:t>
            </w:r>
            <w:proofErr w:type="spellEnd"/>
            <w:r w:rsidRPr="006615E5">
              <w:rPr>
                <w:rFonts w:ascii="Arial" w:eastAsia="Times New Roman" w:hAnsi="Arial" w:cs="Arial"/>
                <w:color w:val="222222"/>
                <w:sz w:val="12"/>
                <w:szCs w:val="12"/>
                <w:lang w:eastAsia="ru-RU"/>
              </w:rPr>
              <w:t xml:space="preserve"> устройств в пользу иных лиц, </w:t>
            </w:r>
            <w:proofErr w:type="gramStart"/>
            <w:r w:rsidRPr="006615E5">
              <w:rPr>
                <w:rFonts w:ascii="Arial" w:eastAsia="Times New Roman" w:hAnsi="Arial" w:cs="Arial"/>
                <w:color w:val="222222"/>
                <w:sz w:val="12"/>
                <w:szCs w:val="12"/>
                <w:lang w:eastAsia="ru-RU"/>
              </w:rPr>
              <w:t>включая:</w:t>
            </w:r>
            <w:r w:rsidRPr="006615E5">
              <w:rPr>
                <w:rFonts w:ascii="Arial" w:eastAsia="Times New Roman" w:hAnsi="Arial" w:cs="Arial"/>
                <w:color w:val="222222"/>
                <w:sz w:val="12"/>
                <w:szCs w:val="12"/>
                <w:lang w:eastAsia="ru-RU"/>
              </w:rPr>
              <w:br/>
              <w:t>-</w:t>
            </w:r>
            <w:proofErr w:type="gramEnd"/>
            <w:r w:rsidRPr="006615E5">
              <w:rPr>
                <w:rFonts w:ascii="Arial" w:eastAsia="Times New Roman" w:hAnsi="Arial" w:cs="Arial"/>
                <w:color w:val="222222"/>
                <w:sz w:val="12"/>
                <w:szCs w:val="12"/>
                <w:lang w:eastAsia="ru-RU"/>
              </w:rPr>
              <w:t xml:space="preserve"> наименование лица, которое намеревается осуществить перераспределение максимальной мощности принадлежащих ему </w:t>
            </w:r>
            <w:proofErr w:type="spellStart"/>
            <w:r w:rsidRPr="006615E5">
              <w:rPr>
                <w:rFonts w:ascii="Arial" w:eastAsia="Times New Roman" w:hAnsi="Arial" w:cs="Arial"/>
                <w:color w:val="222222"/>
                <w:sz w:val="12"/>
                <w:szCs w:val="12"/>
                <w:lang w:eastAsia="ru-RU"/>
              </w:rPr>
              <w:t>энергопринимающих</w:t>
            </w:r>
            <w:proofErr w:type="spellEnd"/>
            <w:r w:rsidRPr="006615E5">
              <w:rPr>
                <w:rFonts w:ascii="Arial" w:eastAsia="Times New Roman" w:hAnsi="Arial" w:cs="Arial"/>
                <w:color w:val="222222"/>
                <w:sz w:val="12"/>
                <w:szCs w:val="12"/>
                <w:lang w:eastAsia="ru-RU"/>
              </w:rPr>
              <w:t xml:space="preserve"> устройств, и его контактные данные;</w:t>
            </w:r>
            <w:r w:rsidRPr="006615E5">
              <w:rPr>
                <w:rFonts w:ascii="Arial" w:eastAsia="Times New Roman" w:hAnsi="Arial" w:cs="Arial"/>
                <w:color w:val="222222"/>
                <w:sz w:val="12"/>
                <w:szCs w:val="12"/>
                <w:lang w:eastAsia="ru-RU"/>
              </w:rPr>
              <w:br/>
              <w:t>- наименование и место нахождения центра питания.</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hyperlink r:id="rId58" w:history="1">
              <w:r w:rsidRPr="006615E5">
                <w:rPr>
                  <w:rFonts w:ascii="Arial" w:eastAsia="Times New Roman" w:hAnsi="Arial" w:cs="Arial"/>
                  <w:color w:val="2883D4"/>
                  <w:sz w:val="12"/>
                  <w:szCs w:val="12"/>
                  <w:u w:val="single"/>
                  <w:lang w:eastAsia="ru-RU"/>
                </w:rPr>
                <w:t>ссылка</w:t>
              </w:r>
            </w:hyperlink>
          </w:p>
        </w:tc>
      </w:tr>
      <w:tr w:rsidR="006615E5" w:rsidRPr="006615E5" w:rsidTr="006615E5">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и</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 </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подлежит опубликованию на официальном сайте сетевой организации в сети Интернет, предоставляется потребителям путем размещения в печатном виде в центрах очного обслуживания и обновляется в течение 10 дней со дня вступления в силу изменений.".</w:t>
            </w:r>
          </w:p>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в течение 10 дней со дня вступления в силу изменений.</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12"/>
                <w:szCs w:val="12"/>
                <w:lang w:eastAsia="ru-RU"/>
              </w:rPr>
              <w:t>11</w:t>
            </w:r>
            <w:proofErr w:type="gramStart"/>
            <w:r w:rsidRPr="006615E5">
              <w:rPr>
                <w:rFonts w:ascii="Arial" w:eastAsia="Times New Roman" w:hAnsi="Arial" w:cs="Arial"/>
                <w:color w:val="222222"/>
                <w:sz w:val="12"/>
                <w:szCs w:val="12"/>
                <w:lang w:eastAsia="ru-RU"/>
              </w:rPr>
              <w:t>и)о</w:t>
            </w:r>
            <w:proofErr w:type="gramEnd"/>
            <w:r w:rsidRPr="006615E5">
              <w:rPr>
                <w:rFonts w:ascii="Arial" w:eastAsia="Times New Roman" w:hAnsi="Arial" w:cs="Arial"/>
                <w:color w:val="222222"/>
                <w:sz w:val="12"/>
                <w:szCs w:val="12"/>
                <w:lang w:eastAsia="ru-RU"/>
              </w:rPr>
              <w:t xml:space="preserve"> паспортах услуг (процессов) согласно единым стандартам качества обслуживания сетевыми организациями потребителей услуг сетевых организаций. Под паспортом услуги (процесса) понимается документ, содержащий систематизированную в хронологическом порядке информацию об этапах и сроках оказываемой потребителям услуги (осуществляемого процесса), порядок определения стоимости (если законодательством РФ предусмотрено взимание платы за </w:t>
            </w:r>
            <w:proofErr w:type="spellStart"/>
            <w:r w:rsidRPr="006615E5">
              <w:rPr>
                <w:rFonts w:ascii="Arial" w:eastAsia="Times New Roman" w:hAnsi="Arial" w:cs="Arial"/>
                <w:color w:val="222222"/>
                <w:sz w:val="12"/>
                <w:szCs w:val="12"/>
                <w:lang w:eastAsia="ru-RU"/>
              </w:rPr>
              <w:t>испоолнение</w:t>
            </w:r>
            <w:proofErr w:type="spellEnd"/>
            <w:r w:rsidRPr="006615E5">
              <w:rPr>
                <w:rFonts w:ascii="Arial" w:eastAsia="Times New Roman" w:hAnsi="Arial" w:cs="Arial"/>
                <w:color w:val="222222"/>
                <w:sz w:val="12"/>
                <w:szCs w:val="12"/>
                <w:lang w:eastAsia="ru-RU"/>
              </w:rPr>
              <w:t xml:space="preserve"> услуги (процесса), а </w:t>
            </w:r>
            <w:proofErr w:type="gramStart"/>
            <w:r w:rsidRPr="006615E5">
              <w:rPr>
                <w:rFonts w:ascii="Arial" w:eastAsia="Times New Roman" w:hAnsi="Arial" w:cs="Arial"/>
                <w:color w:val="222222"/>
                <w:sz w:val="12"/>
                <w:szCs w:val="12"/>
                <w:lang w:eastAsia="ru-RU"/>
              </w:rPr>
              <w:t>так же</w:t>
            </w:r>
            <w:proofErr w:type="gramEnd"/>
            <w:r w:rsidRPr="006615E5">
              <w:rPr>
                <w:rFonts w:ascii="Arial" w:eastAsia="Times New Roman" w:hAnsi="Arial" w:cs="Arial"/>
                <w:color w:val="222222"/>
                <w:sz w:val="12"/>
                <w:szCs w:val="12"/>
                <w:lang w:eastAsia="ru-RU"/>
              </w:rPr>
              <w:t xml:space="preserve"> описание результата с указанием нормативных правовых актов, регламентирующих оказание соответствующей услуги (осуществление процесса). Приказ Минэнерго РФ от 15.04.2014 № 186 "О единых стандартах качества обслуживания сетевыми организациями потребителей услуг сетевых организаций".</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hyperlink r:id="rId59" w:history="1">
              <w:r w:rsidRPr="006615E5">
                <w:rPr>
                  <w:rFonts w:ascii="Arial" w:eastAsia="Times New Roman" w:hAnsi="Arial" w:cs="Arial"/>
                  <w:color w:val="2883D4"/>
                  <w:sz w:val="12"/>
                  <w:szCs w:val="12"/>
                  <w:u w:val="single"/>
                  <w:lang w:eastAsia="ru-RU"/>
                </w:rPr>
                <w:t>ссылка</w:t>
              </w:r>
            </w:hyperlink>
          </w:p>
        </w:tc>
      </w:tr>
      <w:tr w:rsidR="006615E5" w:rsidRPr="006615E5" w:rsidTr="006615E5">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21"/>
                <w:szCs w:val="21"/>
                <w:lang w:eastAsia="ru-RU"/>
              </w:rPr>
              <w:t> </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21"/>
                <w:szCs w:val="21"/>
                <w:lang w:eastAsia="ru-RU"/>
              </w:rPr>
              <w:t> </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21"/>
                <w:szCs w:val="21"/>
                <w:lang w:eastAsia="ru-RU"/>
              </w:rPr>
              <w:t> </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21"/>
                <w:szCs w:val="21"/>
                <w:lang w:eastAsia="ru-RU"/>
              </w:rPr>
              <w:t> </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21"/>
                <w:szCs w:val="21"/>
                <w:lang w:eastAsia="ru-RU"/>
              </w:rPr>
              <w:t> </w:t>
            </w:r>
          </w:p>
        </w:tc>
        <w:tc>
          <w:tcPr>
            <w:tcW w:w="0" w:type="auto"/>
            <w:shd w:val="clear" w:color="auto" w:fill="FFFFFF"/>
            <w:tcMar>
              <w:top w:w="15" w:type="dxa"/>
              <w:left w:w="15" w:type="dxa"/>
              <w:bottom w:w="15" w:type="dxa"/>
              <w:right w:w="15" w:type="dxa"/>
            </w:tcMar>
            <w:hideMark/>
          </w:tcPr>
          <w:p w:rsidR="006615E5" w:rsidRPr="006615E5" w:rsidRDefault="006615E5" w:rsidP="006615E5">
            <w:pPr>
              <w:spacing w:after="0" w:line="240" w:lineRule="auto"/>
              <w:rPr>
                <w:rFonts w:ascii="Arial" w:eastAsia="Times New Roman" w:hAnsi="Arial" w:cs="Arial"/>
                <w:color w:val="222222"/>
                <w:sz w:val="21"/>
                <w:szCs w:val="21"/>
                <w:lang w:eastAsia="ru-RU"/>
              </w:rPr>
            </w:pPr>
            <w:r w:rsidRPr="006615E5">
              <w:rPr>
                <w:rFonts w:ascii="Arial" w:eastAsia="Times New Roman" w:hAnsi="Arial" w:cs="Arial"/>
                <w:color w:val="222222"/>
                <w:sz w:val="21"/>
                <w:szCs w:val="21"/>
                <w:lang w:eastAsia="ru-RU"/>
              </w:rPr>
              <w:t> </w:t>
            </w:r>
          </w:p>
        </w:tc>
      </w:tr>
    </w:tbl>
    <w:p w:rsidR="00FE10F3" w:rsidRDefault="00FE10F3">
      <w:bookmarkStart w:id="0" w:name="_GoBack"/>
      <w:bookmarkEnd w:id="0"/>
    </w:p>
    <w:sectPr w:rsidR="00FE10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5E5"/>
    <w:rsid w:val="006615E5"/>
    <w:rsid w:val="00FE10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BBFF07-D0AD-4757-9E21-4D3A42840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615E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6615E5"/>
    <w:rPr>
      <w:color w:val="0000FF"/>
      <w:u w:val="single"/>
    </w:rPr>
  </w:style>
  <w:style w:type="paragraph" w:styleId="a5">
    <w:name w:val="Balloon Text"/>
    <w:basedOn w:val="a"/>
    <w:link w:val="a6"/>
    <w:uiPriority w:val="99"/>
    <w:semiHidden/>
    <w:unhideWhenUsed/>
    <w:rsid w:val="006615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6615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061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gesmgn.ru/about/397/520/496/" TargetMode="External"/><Relationship Id="rId18" Type="http://schemas.openxmlformats.org/officeDocument/2006/relationships/hyperlink" Target="http://gesmgn.ru/documents/g-2.rar" TargetMode="External"/><Relationship Id="rId26" Type="http://schemas.openxmlformats.org/officeDocument/2006/relationships/hyperlink" Target="http://gesmgn.ru/documents/g-11.rar" TargetMode="External"/><Relationship Id="rId39" Type="http://schemas.openxmlformats.org/officeDocument/2006/relationships/hyperlink" Target="http://gesmgn.ru/documents/Audit.pdf" TargetMode="External"/><Relationship Id="rId21" Type="http://schemas.openxmlformats.org/officeDocument/2006/relationships/hyperlink" Target="http://gesmgn.ru/documents/g-6.rar" TargetMode="External"/><Relationship Id="rId34" Type="http://schemas.openxmlformats.org/officeDocument/2006/relationships/hyperlink" Target="http://gesmgn.ru/documents/obem_vvoda.rar" TargetMode="External"/><Relationship Id="rId42" Type="http://schemas.openxmlformats.org/officeDocument/2006/relationships/hyperlink" Target="http://gesmgn.ru/about/397/489/" TargetMode="External"/><Relationship Id="rId47" Type="http://schemas.openxmlformats.org/officeDocument/2006/relationships/hyperlink" Target="http://gesmgn.ru/393/439/456/" TargetMode="External"/><Relationship Id="rId50" Type="http://schemas.openxmlformats.org/officeDocument/2006/relationships/hyperlink" Target="http://gesmgn.ru/393/439/457/" TargetMode="External"/><Relationship Id="rId55" Type="http://schemas.openxmlformats.org/officeDocument/2006/relationships/hyperlink" Target="http://gesmgn.ru/about/397/550/502" TargetMode="External"/><Relationship Id="rId7" Type="http://schemas.openxmlformats.org/officeDocument/2006/relationships/hyperlink" Target="http://gesmgn.ru/about/397/520/493/" TargetMode="External"/><Relationship Id="rId2" Type="http://schemas.openxmlformats.org/officeDocument/2006/relationships/settings" Target="settings.xml"/><Relationship Id="rId16" Type="http://schemas.openxmlformats.org/officeDocument/2006/relationships/hyperlink" Target="http://gesmgn.ru/about/397/553/" TargetMode="External"/><Relationship Id="rId20" Type="http://schemas.openxmlformats.org/officeDocument/2006/relationships/hyperlink" Target="http://gesmgn.ru/documents/g-4.rar" TargetMode="External"/><Relationship Id="rId29" Type="http://schemas.openxmlformats.org/officeDocument/2006/relationships/hyperlink" Target="http://gesmgn.ru/documents/g-15-16.rar" TargetMode="External"/><Relationship Id="rId41" Type="http://schemas.openxmlformats.org/officeDocument/2006/relationships/hyperlink" Target="http://www.gesmgn.ru/about/397/519" TargetMode="External"/><Relationship Id="rId54" Type="http://schemas.openxmlformats.org/officeDocument/2006/relationships/hyperlink" Target="http://gesmgn.ru/393/438/447/" TargetMode="External"/><Relationship Id="rId1" Type="http://schemas.openxmlformats.org/officeDocument/2006/relationships/styles" Target="styles.xml"/><Relationship Id="rId6" Type="http://schemas.openxmlformats.org/officeDocument/2006/relationships/hyperlink" Target="http://gesmgn.ru/about/397/520/482/" TargetMode="External"/><Relationship Id="rId11" Type="http://schemas.openxmlformats.org/officeDocument/2006/relationships/hyperlink" Target="http://gesmgn.ru/about/397/520/494/" TargetMode="External"/><Relationship Id="rId24" Type="http://schemas.openxmlformats.org/officeDocument/2006/relationships/hyperlink" Target="http://gesmgn.ru/documents/g-9.rar" TargetMode="External"/><Relationship Id="rId32" Type="http://schemas.openxmlformats.org/officeDocument/2006/relationships/hyperlink" Target="http://gesmgn.ru/documents/vvedennoy_moshchnosti_.rar" TargetMode="External"/><Relationship Id="rId37" Type="http://schemas.openxmlformats.org/officeDocument/2006/relationships/hyperlink" Target="http://www.gesmgn.ru/documents/Finansovyy_otchet_za_2016.xls" TargetMode="External"/><Relationship Id="rId40" Type="http://schemas.openxmlformats.org/officeDocument/2006/relationships/hyperlink" Target="http://gesmgn.ru/about/397/488" TargetMode="External"/><Relationship Id="rId45" Type="http://schemas.openxmlformats.org/officeDocument/2006/relationships/hyperlink" Target="http://gesmgn.ru/about/397/550/537" TargetMode="External"/><Relationship Id="rId53" Type="http://schemas.openxmlformats.org/officeDocument/2006/relationships/hyperlink" Target="http://gesmgn.ru/393/438/446/" TargetMode="External"/><Relationship Id="rId58" Type="http://schemas.openxmlformats.org/officeDocument/2006/relationships/hyperlink" Target="http://gesmgn.ru/about/397/487/" TargetMode="External"/><Relationship Id="rId5" Type="http://schemas.openxmlformats.org/officeDocument/2006/relationships/hyperlink" Target="http://www.gesmgn.ru/about/397/520/501" TargetMode="External"/><Relationship Id="rId15" Type="http://schemas.openxmlformats.org/officeDocument/2006/relationships/hyperlink" Target="http://gesmgn.ru/393/438/446/" TargetMode="External"/><Relationship Id="rId23" Type="http://schemas.openxmlformats.org/officeDocument/2006/relationships/hyperlink" Target="http://gesmgn.ru/documents/g-8.rar" TargetMode="External"/><Relationship Id="rId28" Type="http://schemas.openxmlformats.org/officeDocument/2006/relationships/hyperlink" Target="http://gesmgn.ru/documents/g-15-16.rar" TargetMode="External"/><Relationship Id="rId36" Type="http://schemas.openxmlformats.org/officeDocument/2006/relationships/hyperlink" Target="http://gesmgn.ru/documents/Otchet_po_zakupkam_2016g_.pdf" TargetMode="External"/><Relationship Id="rId49" Type="http://schemas.openxmlformats.org/officeDocument/2006/relationships/hyperlink" Target="http://gesmgn.ru/about/397/525/500/" TargetMode="External"/><Relationship Id="rId57" Type="http://schemas.openxmlformats.org/officeDocument/2006/relationships/hyperlink" Target="http://gesmgn.ru/about/397/499/" TargetMode="External"/><Relationship Id="rId61" Type="http://schemas.openxmlformats.org/officeDocument/2006/relationships/theme" Target="theme/theme1.xml"/><Relationship Id="rId10" Type="http://schemas.openxmlformats.org/officeDocument/2006/relationships/hyperlink" Target="http://www.gesmgn.ru/393/441/" TargetMode="External"/><Relationship Id="rId19" Type="http://schemas.openxmlformats.org/officeDocument/2006/relationships/hyperlink" Target="http://gesmgn.ru/documents/g-3.rar" TargetMode="External"/><Relationship Id="rId31" Type="http://schemas.openxmlformats.org/officeDocument/2006/relationships/hyperlink" Target="http://gesmgn.ru/about/397/551/545" TargetMode="External"/><Relationship Id="rId44" Type="http://schemas.openxmlformats.org/officeDocument/2006/relationships/hyperlink" Target="http://gesmgn.ru/about/397/490/" TargetMode="External"/><Relationship Id="rId52" Type="http://schemas.openxmlformats.org/officeDocument/2006/relationships/hyperlink" Target="http://gesmgn.ru/about/397/499/" TargetMode="External"/><Relationship Id="rId60" Type="http://schemas.openxmlformats.org/officeDocument/2006/relationships/fontTable" Target="fontTable.xml"/><Relationship Id="rId4" Type="http://schemas.openxmlformats.org/officeDocument/2006/relationships/hyperlink" Target="http://gesmgn.ru/about/397/550" TargetMode="External"/><Relationship Id="rId9" Type="http://schemas.openxmlformats.org/officeDocument/2006/relationships/hyperlink" Target="http://www.gesmgn.ru/about/397/520/495" TargetMode="External"/><Relationship Id="rId14" Type="http://schemas.openxmlformats.org/officeDocument/2006/relationships/hyperlink" Target="http://gesmgn.ru/about/397/520/497" TargetMode="External"/><Relationship Id="rId22" Type="http://schemas.openxmlformats.org/officeDocument/2006/relationships/hyperlink" Target="http://gesmgn.ru/documents/g-7.rar" TargetMode="External"/><Relationship Id="rId27" Type="http://schemas.openxmlformats.org/officeDocument/2006/relationships/hyperlink" Target="http://gesmgn.ru/documents/g-14.rar" TargetMode="External"/><Relationship Id="rId30" Type="http://schemas.openxmlformats.org/officeDocument/2006/relationships/hyperlink" Target="http://gesmgn.ru/documents/g-17.rar" TargetMode="External"/><Relationship Id="rId35" Type="http://schemas.openxmlformats.org/officeDocument/2006/relationships/hyperlink" Target="http://gesmgn.ru/documents/Otchet_po_IPR_2016-2020__MP_GES_za_2016g_(ot_PTO).xls" TargetMode="External"/><Relationship Id="rId43" Type="http://schemas.openxmlformats.org/officeDocument/2006/relationships/hyperlink" Target="http://gesmgn.ru/about/397/399/429/" TargetMode="External"/><Relationship Id="rId48" Type="http://schemas.openxmlformats.org/officeDocument/2006/relationships/hyperlink" Target="http://www.gesmgn.ru/about/397/543" TargetMode="External"/><Relationship Id="rId56" Type="http://schemas.openxmlformats.org/officeDocument/2006/relationships/hyperlink" Target="http://gesmgn.ru/about/397/499/" TargetMode="External"/><Relationship Id="rId8" Type="http://schemas.openxmlformats.org/officeDocument/2006/relationships/hyperlink" Target="http://gesmgn.ru/about/397/520/494/" TargetMode="External"/><Relationship Id="rId51" Type="http://schemas.openxmlformats.org/officeDocument/2006/relationships/hyperlink" Target="http://gesmgn.ru/about/397/520/535" TargetMode="External"/><Relationship Id="rId3" Type="http://schemas.openxmlformats.org/officeDocument/2006/relationships/webSettings" Target="webSettings.xml"/><Relationship Id="rId12" Type="http://schemas.openxmlformats.org/officeDocument/2006/relationships/hyperlink" Target="http://gesmgn.ru/about/397/520/554/" TargetMode="External"/><Relationship Id="rId17" Type="http://schemas.openxmlformats.org/officeDocument/2006/relationships/hyperlink" Target="http://gesmgn.ru/about/396/" TargetMode="External"/><Relationship Id="rId25" Type="http://schemas.openxmlformats.org/officeDocument/2006/relationships/hyperlink" Target="http://gesmgn.ru/documents/g-10.rar" TargetMode="External"/><Relationship Id="rId33" Type="http://schemas.openxmlformats.org/officeDocument/2006/relationships/hyperlink" Target="http://gesmgn.ru/documents/obem_finansirovaniya.rar" TargetMode="External"/><Relationship Id="rId38" Type="http://schemas.openxmlformats.org/officeDocument/2006/relationships/hyperlink" Target="http://www.gesmgn.ru/documents/Pasport1g1.rar" TargetMode="External"/><Relationship Id="rId46" Type="http://schemas.openxmlformats.org/officeDocument/2006/relationships/hyperlink" Target="http://gesmgn.ru/about/397/534" TargetMode="External"/><Relationship Id="rId59" Type="http://schemas.openxmlformats.org/officeDocument/2006/relationships/hyperlink" Target="http://gesmgn.ru/about/397/54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5393</Words>
  <Characters>30742</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Алла Кочнева</dc:creator>
  <cp:keywords/>
  <dc:description/>
  <cp:lastModifiedBy>Алла Кочнева</cp:lastModifiedBy>
  <cp:revision>1</cp:revision>
  <cp:lastPrinted>2017-02-20T11:16:00Z</cp:lastPrinted>
  <dcterms:created xsi:type="dcterms:W3CDTF">2017-02-20T11:14:00Z</dcterms:created>
  <dcterms:modified xsi:type="dcterms:W3CDTF">2017-02-20T11:17:00Z</dcterms:modified>
</cp:coreProperties>
</file>